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471781" w14:textId="6BC9D455" w:rsidR="00DC5FEC" w:rsidRPr="00C945D4" w:rsidRDefault="00C945D4" w:rsidP="00C945D4">
      <w:pPr>
        <w:jc w:val="center"/>
        <w:rPr>
          <w:b/>
          <w:bCs/>
        </w:rPr>
      </w:pPr>
      <w:r w:rsidRPr="00C945D4">
        <w:rPr>
          <w:b/>
          <w:bCs/>
        </w:rPr>
        <w:t>P</w:t>
      </w:r>
      <w:r w:rsidR="00DC5FEC" w:rsidRPr="00C945D4">
        <w:rPr>
          <w:b/>
          <w:bCs/>
        </w:rPr>
        <w:t>aper on relationship between Judicial Development Strategy for the period 2019-2024 and the revised Action plan for Chapter 23</w:t>
      </w:r>
    </w:p>
    <w:p w14:paraId="2C5DB22A" w14:textId="77777777" w:rsidR="00DC5FEC" w:rsidRDefault="00DC5FEC" w:rsidP="00DC5FEC">
      <w:pPr>
        <w:jc w:val="center"/>
        <w:rPr>
          <w:bCs/>
        </w:rPr>
      </w:pPr>
    </w:p>
    <w:p w14:paraId="2188CA4E" w14:textId="77777777" w:rsidR="00DC5FEC" w:rsidRDefault="00DC5FEC" w:rsidP="00DC5FEC">
      <w:pPr>
        <w:jc w:val="both"/>
      </w:pPr>
      <w:r>
        <w:t>S</w:t>
      </w:r>
      <w:r w:rsidRPr="00B643DC">
        <w:t xml:space="preserve">trengthening the rule of law </w:t>
      </w:r>
      <w:r>
        <w:t xml:space="preserve">through the </w:t>
      </w:r>
      <w:r w:rsidRPr="0067483E">
        <w:t>j</w:t>
      </w:r>
      <w:r>
        <w:t>udicial reform as one of its</w:t>
      </w:r>
      <w:r w:rsidRPr="0067483E">
        <w:t xml:space="preserve"> primary component</w:t>
      </w:r>
      <w:r>
        <w:t>s</w:t>
      </w:r>
      <w:r w:rsidRPr="0067483E">
        <w:t xml:space="preserve"> remains at the very heart of the Serbia’s EU accession negotiations. </w:t>
      </w:r>
      <w:r>
        <w:t xml:space="preserve">So far it has become clear </w:t>
      </w:r>
      <w:r w:rsidRPr="0067483E">
        <w:t xml:space="preserve">that dynamics of </w:t>
      </w:r>
      <w:proofErr w:type="gramStart"/>
      <w:r w:rsidRPr="0067483E">
        <w:t>the  negotiations</w:t>
      </w:r>
      <w:proofErr w:type="gramEnd"/>
      <w:r w:rsidRPr="0067483E">
        <w:t xml:space="preserve"> depend of the EU assessment of the progress </w:t>
      </w:r>
      <w:r>
        <w:t xml:space="preserve">within the rule of law area, particularly </w:t>
      </w:r>
      <w:r w:rsidRPr="0067483E">
        <w:t>in the field of judiciary.</w:t>
      </w:r>
    </w:p>
    <w:p w14:paraId="17C5CC09" w14:textId="77777777" w:rsidR="00DC5FEC" w:rsidRDefault="00DC5FEC" w:rsidP="00DC5FEC">
      <w:pPr>
        <w:jc w:val="both"/>
      </w:pPr>
      <w:r w:rsidRPr="0067483E">
        <w:t>The National Assembly of the Republic of Serbia enacted the National Judicial Reform Strategy for the pe</w:t>
      </w:r>
      <w:bookmarkStart w:id="0" w:name="_GoBack"/>
      <w:bookmarkEnd w:id="0"/>
      <w:r w:rsidRPr="0067483E">
        <w:t xml:space="preserve">riod 2013-2018 on </w:t>
      </w:r>
      <w:r>
        <w:t>1 July</w:t>
      </w:r>
      <w:r w:rsidRPr="0067483E">
        <w:t xml:space="preserve"> 2013, which has determined priorities, strategic goals and strategic guidelines of reform measures. The Government of the Republic of Serbia adopted an Action plan for implementation of the National Judicial Reform Strategy for th</w:t>
      </w:r>
      <w:r>
        <w:t>e period 2013- 2018 on 31 July</w:t>
      </w:r>
      <w:r w:rsidRPr="0067483E">
        <w:t xml:space="preserve"> </w:t>
      </w:r>
      <w:r>
        <w:t xml:space="preserve">2013 </w:t>
      </w:r>
      <w:r w:rsidRPr="0067483E">
        <w:t xml:space="preserve">which was revised after the adoption of the Action plan </w:t>
      </w:r>
      <w:r w:rsidRPr="0067483E">
        <w:rPr>
          <w:bCs/>
        </w:rPr>
        <w:t xml:space="preserve">for Chapter 23 in December 2016. The Action Plan for the implementation of the National Judicial Reform Strategy </w:t>
      </w:r>
      <w:r w:rsidRPr="0067483E">
        <w:t xml:space="preserve">envisaged concrete measures and activities for implementation of strategic objectives, defined the deadlines and competent authorities for its implementation and financial sources. </w:t>
      </w:r>
    </w:p>
    <w:p w14:paraId="1A312381" w14:textId="77777777" w:rsidR="00DC5FEC" w:rsidRPr="0067483E" w:rsidRDefault="00DC5FEC" w:rsidP="00DC5FEC">
      <w:pPr>
        <w:jc w:val="both"/>
      </w:pPr>
      <w:r w:rsidRPr="00740F51">
        <w:t>Following the EC recommendations from the Screening Report for Chapter 23 based on conclusions from the Explanatory and Bilateral Screening meetings and after the wide consultations with all relevant st</w:t>
      </w:r>
      <w:r>
        <w:t>akeholders and civil society, on</w:t>
      </w:r>
      <w:r w:rsidRPr="00740F51">
        <w:t xml:space="preserve"> </w:t>
      </w:r>
      <w:r>
        <w:t xml:space="preserve">27 </w:t>
      </w:r>
      <w:r w:rsidRPr="00740F51">
        <w:t>April 2016 the Government of the Republic of Serbia adopted </w:t>
      </w:r>
      <w:r w:rsidRPr="00740F51">
        <w:rPr>
          <w:bCs/>
        </w:rPr>
        <w:t>the Action Plan for the implementation of Chapter 23 (AP</w:t>
      </w:r>
      <w:r>
        <w:rPr>
          <w:bCs/>
        </w:rPr>
        <w:t>CH</w:t>
      </w:r>
      <w:r w:rsidRPr="00740F51">
        <w:rPr>
          <w:bCs/>
        </w:rPr>
        <w:t xml:space="preserve">23), previously approved by </w:t>
      </w:r>
      <w:r w:rsidRPr="00740F51">
        <w:t>the European Commission. After the adoption of the AP</w:t>
      </w:r>
      <w:r>
        <w:t>CH</w:t>
      </w:r>
      <w:r w:rsidRPr="00740F51">
        <w:t xml:space="preserve">23 in July 2016 </w:t>
      </w:r>
      <w:r>
        <w:t xml:space="preserve">EU </w:t>
      </w:r>
      <w:r w:rsidRPr="00740F51">
        <w:t>accession negotiations on Chapter 23 commenced. At the third EU-Serbia Intergovernmental Conference held in Brussels on 18 July 2016</w:t>
      </w:r>
      <w:r>
        <w:t xml:space="preserve"> </w:t>
      </w:r>
      <w:r w:rsidRPr="00740F51">
        <w:t>EU General Position on Accession Negotiations with the Republic of Serbia was presented, including 50 interim benchmarks (IBM) for Chapter 23 defined to assess further progress of Serbia.</w:t>
      </w:r>
      <w:r>
        <w:t xml:space="preserve"> </w:t>
      </w:r>
    </w:p>
    <w:p w14:paraId="6A2BC21C" w14:textId="77777777" w:rsidR="00DC5FEC" w:rsidRPr="00561000" w:rsidRDefault="00DC5FEC" w:rsidP="00DC5FEC">
      <w:pPr>
        <w:jc w:val="both"/>
      </w:pPr>
      <w:r>
        <w:t>T</w:t>
      </w:r>
      <w:r w:rsidRPr="00561000">
        <w:t xml:space="preserve">he National Judicial Reform Strategy for the period 2013-2018 </w:t>
      </w:r>
      <w:r>
        <w:t>as well as the Action plan for Chapter 23 expired at the end of 2018</w:t>
      </w:r>
      <w:r w:rsidRPr="00561000">
        <w:t>.</w:t>
      </w:r>
    </w:p>
    <w:p w14:paraId="2BC2997E" w14:textId="77777777" w:rsidR="00DC5FEC" w:rsidRDefault="00DC5FEC" w:rsidP="00DC5FEC">
      <w:pPr>
        <w:jc w:val="both"/>
        <w:rPr>
          <w:bCs/>
        </w:rPr>
      </w:pPr>
      <w:r w:rsidRPr="00561000">
        <w:t xml:space="preserve">Reform activities in the Republic of Serbia will continue to be based on the new </w:t>
      </w:r>
      <w:r w:rsidRPr="00561000">
        <w:rPr>
          <w:bCs/>
        </w:rPr>
        <w:t>Judicial Development Strategy for the period 2019-2024</w:t>
      </w:r>
      <w:r w:rsidRPr="00561000">
        <w:t>, which draft is in progress. Strategic goals from the JDS 2019-2024 should follow the determination of Serbia for full membership in the EU. Thus, in the next five-year period, the strengthening of the independence and autonomy, impartiality, efficiency, competence and accountability of the judiciary, as well as the strengthening the public confidence in the work of the judiciary, will be priority of all stakeholders.</w:t>
      </w:r>
      <w:r w:rsidRPr="00561000">
        <w:rPr>
          <w:b/>
          <w:bCs/>
        </w:rPr>
        <w:t xml:space="preserve"> </w:t>
      </w:r>
      <w:r w:rsidRPr="00561000">
        <w:rPr>
          <w:bCs/>
        </w:rPr>
        <w:t xml:space="preserve">As the process of the revision of the Action plan for Chapter 23 and of drafting Judicial Development Strategy for the period 2019-2024 are being conducted simultaneously, a </w:t>
      </w:r>
      <w:proofErr w:type="gramStart"/>
      <w:r w:rsidRPr="00561000">
        <w:rPr>
          <w:bCs/>
        </w:rPr>
        <w:t>particular attention</w:t>
      </w:r>
      <w:proofErr w:type="gramEnd"/>
      <w:r w:rsidRPr="00561000">
        <w:rPr>
          <w:bCs/>
        </w:rPr>
        <w:t xml:space="preserve"> was given to obtain two strategic documents dealing with judiciary that will be complementary and harmonized among themselves. The highest level of coherence of the two strategic documents is important not only regarding envisaged key activities</w:t>
      </w:r>
      <w:r>
        <w:rPr>
          <w:bCs/>
        </w:rPr>
        <w:t xml:space="preserve"> and measures</w:t>
      </w:r>
      <w:r w:rsidRPr="00561000">
        <w:rPr>
          <w:bCs/>
        </w:rPr>
        <w:t>, but also in respect of monitoring and evaluation mechanism that will be established in order to facilitate the oversight of the implementation of the reform.</w:t>
      </w:r>
    </w:p>
    <w:p w14:paraId="63875123" w14:textId="77777777" w:rsidR="00DC5FEC" w:rsidRDefault="00DC5FEC" w:rsidP="00DC5FEC">
      <w:pPr>
        <w:jc w:val="both"/>
        <w:rPr>
          <w:bCs/>
        </w:rPr>
      </w:pPr>
      <w:r>
        <w:rPr>
          <w:bCs/>
        </w:rPr>
        <w:lastRenderedPageBreak/>
        <w:t xml:space="preserve">Through the complex process of drafting, based on the previously organized consultations with state authorities and civil society, this final objective has been achieved. The revised Action plan with its activities completely follows the measures defined in the </w:t>
      </w:r>
      <w:r w:rsidRPr="00646B1F">
        <w:rPr>
          <w:bCs/>
        </w:rPr>
        <w:t>Judicial Strategy Judicial Development Strategy for the period 2019-2024</w:t>
      </w:r>
      <w:r>
        <w:rPr>
          <w:bCs/>
        </w:rPr>
        <w:t>. I</w:t>
      </w:r>
      <w:r w:rsidRPr="003838D8">
        <w:rPr>
          <w:bCs/>
        </w:rPr>
        <w:t xml:space="preserve">t is clear that the specific goals of the </w:t>
      </w:r>
      <w:r>
        <w:rPr>
          <w:bCs/>
        </w:rPr>
        <w:t xml:space="preserve">Judicial </w:t>
      </w:r>
      <w:r w:rsidRPr="003838D8">
        <w:rPr>
          <w:bCs/>
        </w:rPr>
        <w:t>Strategy are in line with the strategic principles of AP</w:t>
      </w:r>
      <w:r>
        <w:rPr>
          <w:bCs/>
        </w:rPr>
        <w:t xml:space="preserve">CH23- </w:t>
      </w:r>
      <w:r w:rsidRPr="003838D8">
        <w:rPr>
          <w:bCs/>
        </w:rPr>
        <w:t xml:space="preserve"> independence and autonomy, impartiality and</w:t>
      </w:r>
      <w:r>
        <w:rPr>
          <w:bCs/>
        </w:rPr>
        <w:t xml:space="preserve"> accountability</w:t>
      </w:r>
      <w:r w:rsidRPr="003838D8">
        <w:rPr>
          <w:bCs/>
        </w:rPr>
        <w:t xml:space="preserve">, </w:t>
      </w:r>
      <w:r>
        <w:rPr>
          <w:bCs/>
        </w:rPr>
        <w:t xml:space="preserve">competency </w:t>
      </w:r>
      <w:r w:rsidRPr="003838D8">
        <w:rPr>
          <w:bCs/>
        </w:rPr>
        <w:t xml:space="preserve">and efficiency, </w:t>
      </w:r>
      <w:r>
        <w:rPr>
          <w:bCs/>
        </w:rPr>
        <w:t>with two</w:t>
      </w:r>
      <w:r w:rsidRPr="003838D8">
        <w:rPr>
          <w:bCs/>
        </w:rPr>
        <w:t xml:space="preserve"> addition</w:t>
      </w:r>
      <w:r>
        <w:rPr>
          <w:bCs/>
        </w:rPr>
        <w:t>al</w:t>
      </w:r>
      <w:r w:rsidRPr="003838D8">
        <w:rPr>
          <w:bCs/>
        </w:rPr>
        <w:t xml:space="preserve"> </w:t>
      </w:r>
      <w:r>
        <w:rPr>
          <w:bCs/>
        </w:rPr>
        <w:t>horizontal principles-</w:t>
      </w:r>
      <w:r w:rsidRPr="003838D8">
        <w:rPr>
          <w:bCs/>
        </w:rPr>
        <w:t xml:space="preserve"> transparency and e-justice, without which it is impossible to imagine further development and the establishment of a modern judiciary.</w:t>
      </w:r>
      <w:r>
        <w:rPr>
          <w:bCs/>
        </w:rPr>
        <w:t xml:space="preserve"> </w:t>
      </w:r>
    </w:p>
    <w:p w14:paraId="594087CD" w14:textId="77777777" w:rsidR="00DC5FEC" w:rsidRDefault="00DC5FEC" w:rsidP="00DC5FEC">
      <w:pPr>
        <w:jc w:val="both"/>
        <w:rPr>
          <w:bCs/>
        </w:rPr>
      </w:pPr>
      <w:r>
        <w:rPr>
          <w:bCs/>
        </w:rPr>
        <w:t xml:space="preserve">Generally, </w:t>
      </w:r>
      <w:r w:rsidRPr="00E15A04">
        <w:rPr>
          <w:bCs/>
        </w:rPr>
        <w:t>all measures from the Strategy and activities from AP</w:t>
      </w:r>
      <w:r>
        <w:rPr>
          <w:bCs/>
        </w:rPr>
        <w:t>CH</w:t>
      </w:r>
      <w:r w:rsidRPr="00E15A04">
        <w:rPr>
          <w:bCs/>
        </w:rPr>
        <w:t xml:space="preserve"> 23 can be divided into several groups:</w:t>
      </w:r>
      <w:r>
        <w:rPr>
          <w:bCs/>
        </w:rPr>
        <w:t xml:space="preserve"> </w:t>
      </w:r>
    </w:p>
    <w:p w14:paraId="1BA6A661" w14:textId="77777777" w:rsidR="00DC5FEC" w:rsidRDefault="00DC5FEC" w:rsidP="00DC5FEC">
      <w:pPr>
        <w:jc w:val="both"/>
        <w:rPr>
          <w:bCs/>
        </w:rPr>
      </w:pPr>
      <w:r w:rsidRPr="002B7255">
        <w:rPr>
          <w:bCs/>
        </w:rPr>
        <w:t>-</w:t>
      </w:r>
      <w:r w:rsidRPr="002B7255">
        <w:rPr>
          <w:rFonts w:eastAsia="Calibri" w:cs="Times New Roman"/>
          <w:color w:val="FF0000"/>
          <w:szCs w:val="24"/>
          <w:lang w:val="sr-Cyrl-RS"/>
        </w:rPr>
        <w:t xml:space="preserve"> </w:t>
      </w:r>
      <w:r w:rsidRPr="002B7255">
        <w:rPr>
          <w:bCs/>
        </w:rPr>
        <w:t xml:space="preserve"> normative regulations and harmonization</w:t>
      </w:r>
      <w:r>
        <w:rPr>
          <w:bCs/>
        </w:rPr>
        <w:t>;</w:t>
      </w:r>
    </w:p>
    <w:p w14:paraId="6349A816" w14:textId="77777777" w:rsidR="00DC5FEC" w:rsidRDefault="00DC5FEC" w:rsidP="00DC5FEC">
      <w:pPr>
        <w:jc w:val="both"/>
        <w:rPr>
          <w:bCs/>
        </w:rPr>
      </w:pPr>
      <w:r>
        <w:rPr>
          <w:bCs/>
        </w:rPr>
        <w:t xml:space="preserve"> - </w:t>
      </w:r>
      <w:r w:rsidRPr="002B7255">
        <w:rPr>
          <w:bCs/>
        </w:rPr>
        <w:t>strengthening the institutional and administrative capacities</w:t>
      </w:r>
      <w:r>
        <w:rPr>
          <w:bCs/>
        </w:rPr>
        <w:t>;</w:t>
      </w:r>
    </w:p>
    <w:p w14:paraId="1BC22D76" w14:textId="77777777" w:rsidR="00DC5FEC" w:rsidRDefault="00DC5FEC" w:rsidP="00DC5FEC">
      <w:pPr>
        <w:jc w:val="both"/>
        <w:rPr>
          <w:bCs/>
        </w:rPr>
      </w:pPr>
      <w:r>
        <w:rPr>
          <w:bCs/>
        </w:rPr>
        <w:t xml:space="preserve">- </w:t>
      </w:r>
      <w:r w:rsidRPr="002B7255">
        <w:rPr>
          <w:bCs/>
        </w:rPr>
        <w:t>improving skills and competencies through the implementation of appropriate training programs</w:t>
      </w:r>
      <w:r>
        <w:rPr>
          <w:bCs/>
        </w:rPr>
        <w:t>;</w:t>
      </w:r>
    </w:p>
    <w:p w14:paraId="0356B6B4" w14:textId="77777777" w:rsidR="00DC5FEC" w:rsidRPr="002B7255" w:rsidRDefault="00DC5FEC" w:rsidP="00DC5FEC">
      <w:pPr>
        <w:jc w:val="both"/>
        <w:rPr>
          <w:bCs/>
        </w:rPr>
      </w:pPr>
      <w:r>
        <w:rPr>
          <w:bCs/>
        </w:rPr>
        <w:t xml:space="preserve">- modern ICT solution and transparency permeating through all activities. </w:t>
      </w:r>
    </w:p>
    <w:p w14:paraId="30ABB8A9" w14:textId="77777777" w:rsidR="00DC5FEC" w:rsidRPr="00646B1F" w:rsidRDefault="00DC5FEC" w:rsidP="00DC5FEC">
      <w:pPr>
        <w:jc w:val="both"/>
        <w:rPr>
          <w:bCs/>
        </w:rPr>
      </w:pPr>
      <w:r>
        <w:rPr>
          <w:bCs/>
        </w:rPr>
        <w:t xml:space="preserve">The slight apparent differences that could be noted among two documents arise from their non-identical nature. The Action Plan for Chapter 23 is more detailed while the Strategy is wider and covers a larger number of topics defined through its measures. Namely, the APCH23 is more focused on the external relation between Serbia and EU so the guideline of the drafting process has been determined by </w:t>
      </w:r>
      <w:r w:rsidRPr="00971407">
        <w:rPr>
          <w:bCs/>
        </w:rPr>
        <w:t>the EC recommendations from the Screening Report for Chapter 23</w:t>
      </w:r>
      <w:r>
        <w:rPr>
          <w:bCs/>
        </w:rPr>
        <w:t xml:space="preserve">. In the same way, the revised APCH23 directs </w:t>
      </w:r>
      <w:proofErr w:type="gramStart"/>
      <w:r>
        <w:rPr>
          <w:bCs/>
        </w:rPr>
        <w:t>particular attention</w:t>
      </w:r>
      <w:proofErr w:type="gramEnd"/>
      <w:r>
        <w:rPr>
          <w:bCs/>
        </w:rPr>
        <w:t xml:space="preserve"> to the </w:t>
      </w:r>
      <w:r w:rsidRPr="00AA3A6B">
        <w:rPr>
          <w:bCs/>
        </w:rPr>
        <w:t xml:space="preserve">interim benchmarks (IBM) </w:t>
      </w:r>
      <w:r>
        <w:rPr>
          <w:bCs/>
        </w:rPr>
        <w:t xml:space="preserve">for Chapter 23. On the other hand, the Judicial Strategy is more focused on the domestic state of play and because of that its content and measures are wider. Precisely the task of the Judicial Strategy </w:t>
      </w:r>
      <w:r w:rsidRPr="003C44C6">
        <w:rPr>
          <w:bCs/>
        </w:rPr>
        <w:t>Judicial Development Strategy for the period 2019-2024</w:t>
      </w:r>
      <w:r>
        <w:rPr>
          <w:bCs/>
        </w:rPr>
        <w:t xml:space="preserve"> is to provide all necessary precondition and directives for the further development of the judiciary and at the same time for the fulfilment of the interim benchmarks. Also, the Strategy covers the topics of more technical character such as, e.g.</w:t>
      </w:r>
      <w:r>
        <w:rPr>
          <w:bCs/>
          <w:color w:val="FF0000"/>
        </w:rPr>
        <w:t xml:space="preserve"> </w:t>
      </w:r>
      <w:r w:rsidRPr="00646B1F">
        <w:rPr>
          <w:bCs/>
        </w:rPr>
        <w:t>the introduction of an effective system of delivery of court documents</w:t>
      </w:r>
      <w:r>
        <w:rPr>
          <w:bCs/>
        </w:rPr>
        <w:t xml:space="preserve">, on which the work is already in progress and which forthcoming implementation is certain </w:t>
      </w:r>
      <w:proofErr w:type="gramStart"/>
      <w:r>
        <w:rPr>
          <w:bCs/>
        </w:rPr>
        <w:t>in the near future</w:t>
      </w:r>
      <w:proofErr w:type="gramEnd"/>
      <w:r>
        <w:rPr>
          <w:bCs/>
        </w:rPr>
        <w:t xml:space="preserve">. </w:t>
      </w:r>
    </w:p>
    <w:p w14:paraId="46D7F7BF" w14:textId="77777777" w:rsidR="00DC5FEC" w:rsidRPr="00561000" w:rsidRDefault="00DC5FEC" w:rsidP="00DC5FEC">
      <w:pPr>
        <w:jc w:val="both"/>
        <w:rPr>
          <w:bCs/>
        </w:rPr>
      </w:pPr>
      <w:r>
        <w:rPr>
          <w:bCs/>
        </w:rPr>
        <w:t>It should be noted that during the process of drafting new Judicial Strategy and the revised Action plan for Chapter 23, the results from the working material of the new Functional Analysis of the World Bank are being used.</w:t>
      </w:r>
      <w:r w:rsidRPr="00134F4E">
        <w:t xml:space="preserve"> </w:t>
      </w:r>
      <w:r w:rsidRPr="00134F4E">
        <w:rPr>
          <w:bCs/>
        </w:rPr>
        <w:t>This particul</w:t>
      </w:r>
      <w:r>
        <w:rPr>
          <w:bCs/>
        </w:rPr>
        <w:t xml:space="preserve">arly refers to the part of the </w:t>
      </w:r>
      <w:r w:rsidRPr="00134F4E">
        <w:rPr>
          <w:bCs/>
        </w:rPr>
        <w:t xml:space="preserve">Functional </w:t>
      </w:r>
      <w:r>
        <w:rPr>
          <w:bCs/>
        </w:rPr>
        <w:t>A</w:t>
      </w:r>
      <w:r w:rsidRPr="00134F4E">
        <w:rPr>
          <w:bCs/>
        </w:rPr>
        <w:t>nalysis dealing with the prosecutors</w:t>
      </w:r>
      <w:r>
        <w:rPr>
          <w:bCs/>
        </w:rPr>
        <w:t xml:space="preserve"> which working version has been received earlier, but also the parts relating the courts have been becoming available during the process of </w:t>
      </w:r>
      <w:proofErr w:type="gramStart"/>
      <w:r>
        <w:rPr>
          <w:bCs/>
        </w:rPr>
        <w:t>drafting</w:t>
      </w:r>
      <w:proofErr w:type="gramEnd"/>
      <w:r>
        <w:rPr>
          <w:bCs/>
        </w:rPr>
        <w:t xml:space="preserve"> so they were consulted as well. The </w:t>
      </w:r>
      <w:r w:rsidRPr="00134F4E">
        <w:rPr>
          <w:bCs/>
        </w:rPr>
        <w:t>Functional Analysis</w:t>
      </w:r>
      <w:r>
        <w:rPr>
          <w:bCs/>
        </w:rPr>
        <w:t xml:space="preserve"> deals primarily with operational and functional aspects of the judiciary and business processes conducted within it. So, the main contribution of the </w:t>
      </w:r>
      <w:r w:rsidRPr="00B65394">
        <w:rPr>
          <w:bCs/>
        </w:rPr>
        <w:t xml:space="preserve">working material of the new Functional Analysis </w:t>
      </w:r>
      <w:r>
        <w:rPr>
          <w:bCs/>
        </w:rPr>
        <w:t xml:space="preserve">was related to the definition of the measures and activities </w:t>
      </w:r>
      <w:r w:rsidRPr="00E818BD">
        <w:rPr>
          <w:bCs/>
        </w:rPr>
        <w:t>regarding</w:t>
      </w:r>
      <w:r>
        <w:rPr>
          <w:bCs/>
        </w:rPr>
        <w:t xml:space="preserve"> the principle of the efficiency.</w:t>
      </w:r>
    </w:p>
    <w:p w14:paraId="664837BF" w14:textId="77777777" w:rsidR="00DC5FEC" w:rsidRPr="00637D4F" w:rsidRDefault="00DC5FEC" w:rsidP="00DC5FEC">
      <w:pPr>
        <w:jc w:val="both"/>
        <w:rPr>
          <w:bCs/>
        </w:rPr>
      </w:pPr>
      <w:r w:rsidRPr="00667423">
        <w:rPr>
          <w:bCs/>
        </w:rPr>
        <w:lastRenderedPageBreak/>
        <w:t xml:space="preserve">The impact of reforms is highly likely to be greater if there is strong but simple monitoring mechanism in </w:t>
      </w:r>
      <w:proofErr w:type="gramStart"/>
      <w:r w:rsidRPr="00667423">
        <w:rPr>
          <w:bCs/>
        </w:rPr>
        <w:t>place</w:t>
      </w:r>
      <w:proofErr w:type="gramEnd"/>
      <w:r w:rsidRPr="00667423">
        <w:rPr>
          <w:bCs/>
        </w:rPr>
        <w:t xml:space="preserve"> so</w:t>
      </w:r>
      <w:r>
        <w:rPr>
          <w:bCs/>
        </w:rPr>
        <w:t xml:space="preserve"> it is decided to create one unified monitoring mechanism for the implementation of the new Judicial Strategy and the Action Plan for Chapter 23. In order to make such mechanism feasible, t</w:t>
      </w:r>
      <w:r w:rsidRPr="00D117AF">
        <w:rPr>
          <w:bCs/>
        </w:rPr>
        <w:t>he Action Plan for Chapter 23 will be at the same time an Action Plan for the implementation of the Judicial Development Strategy</w:t>
      </w:r>
      <w:r>
        <w:rPr>
          <w:bCs/>
        </w:rPr>
        <w:t>. In that way</w:t>
      </w:r>
      <w:r w:rsidRPr="00671309">
        <w:rPr>
          <w:bCs/>
        </w:rPr>
        <w:t xml:space="preserve"> </w:t>
      </w:r>
      <w:r>
        <w:rPr>
          <w:bCs/>
        </w:rPr>
        <w:t xml:space="preserve">the </w:t>
      </w:r>
      <w:r w:rsidRPr="00671309">
        <w:rPr>
          <w:bCs/>
        </w:rPr>
        <w:t>overburdening of administrative capacities in reporting processes</w:t>
      </w:r>
      <w:r>
        <w:rPr>
          <w:bCs/>
        </w:rPr>
        <w:t xml:space="preserve"> will be avoid</w:t>
      </w:r>
      <w:r w:rsidRPr="00637D4F">
        <w:rPr>
          <w:bCs/>
        </w:rPr>
        <w:t xml:space="preserve">. </w:t>
      </w:r>
      <w:r>
        <w:rPr>
          <w:bCs/>
        </w:rPr>
        <w:t>At the same time, t</w:t>
      </w:r>
      <w:r w:rsidRPr="00637D4F">
        <w:rPr>
          <w:bCs/>
          <w:lang w:val="en-GB"/>
        </w:rPr>
        <w:t>he</w:t>
      </w:r>
      <w:r>
        <w:rPr>
          <w:bCs/>
          <w:lang w:val="en-GB"/>
        </w:rPr>
        <w:t xml:space="preserve"> </w:t>
      </w:r>
      <w:r w:rsidRPr="00637D4F">
        <w:rPr>
          <w:bCs/>
          <w:lang w:val="en-GB"/>
        </w:rPr>
        <w:t>sustainable instruments that will</w:t>
      </w:r>
      <w:r w:rsidRPr="00637D4F">
        <w:rPr>
          <w:bCs/>
        </w:rPr>
        <w:t xml:space="preserve"> ensure harmonized, objective and transparent reporting on reform implementation in justice sector</w:t>
      </w:r>
      <w:r>
        <w:rPr>
          <w:bCs/>
        </w:rPr>
        <w:t xml:space="preserve"> will be established</w:t>
      </w:r>
      <w:r w:rsidRPr="00637D4F">
        <w:rPr>
          <w:bCs/>
        </w:rPr>
        <w:t>.</w:t>
      </w:r>
    </w:p>
    <w:p w14:paraId="7B8F80A9" w14:textId="77777777" w:rsidR="00DC5FEC" w:rsidRDefault="00DC5FEC" w:rsidP="00DC5FEC"/>
    <w:p w14:paraId="4B47D146" w14:textId="77777777" w:rsidR="00DC5FEC" w:rsidRPr="00025DE9" w:rsidRDefault="00DC5FEC" w:rsidP="00DC5FEC"/>
    <w:p w14:paraId="3A779347" w14:textId="77777777" w:rsidR="0044374D" w:rsidRDefault="0044374D"/>
    <w:sectPr w:rsidR="0044374D" w:rsidSect="002901BF">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2EB3B8" w14:textId="77777777" w:rsidR="005669E3" w:rsidRDefault="005669E3" w:rsidP="001C509F">
      <w:pPr>
        <w:spacing w:after="0" w:line="240" w:lineRule="auto"/>
      </w:pPr>
      <w:r>
        <w:separator/>
      </w:r>
    </w:p>
  </w:endnote>
  <w:endnote w:type="continuationSeparator" w:id="0">
    <w:p w14:paraId="416EE5CA" w14:textId="77777777" w:rsidR="005669E3" w:rsidRDefault="005669E3" w:rsidP="001C5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696E5B" w14:textId="77777777" w:rsidR="005669E3" w:rsidRDefault="005669E3" w:rsidP="001C509F">
      <w:pPr>
        <w:spacing w:after="0" w:line="240" w:lineRule="auto"/>
      </w:pPr>
      <w:r>
        <w:separator/>
      </w:r>
    </w:p>
  </w:footnote>
  <w:footnote w:type="continuationSeparator" w:id="0">
    <w:p w14:paraId="176B2A52" w14:textId="77777777" w:rsidR="005669E3" w:rsidRDefault="005669E3" w:rsidP="001C50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FEC"/>
    <w:rsid w:val="00012093"/>
    <w:rsid w:val="00037A01"/>
    <w:rsid w:val="00077D16"/>
    <w:rsid w:val="000C4761"/>
    <w:rsid w:val="000D293A"/>
    <w:rsid w:val="000F1658"/>
    <w:rsid w:val="00113936"/>
    <w:rsid w:val="00134FB6"/>
    <w:rsid w:val="00150380"/>
    <w:rsid w:val="00150805"/>
    <w:rsid w:val="00156DA1"/>
    <w:rsid w:val="00193BF5"/>
    <w:rsid w:val="001B3C62"/>
    <w:rsid w:val="001C509F"/>
    <w:rsid w:val="001D028E"/>
    <w:rsid w:val="001D4CC3"/>
    <w:rsid w:val="00213E07"/>
    <w:rsid w:val="002241E6"/>
    <w:rsid w:val="00231FC1"/>
    <w:rsid w:val="002410B0"/>
    <w:rsid w:val="0024378D"/>
    <w:rsid w:val="00266A0B"/>
    <w:rsid w:val="0027290B"/>
    <w:rsid w:val="0027680C"/>
    <w:rsid w:val="0028078C"/>
    <w:rsid w:val="00297FE2"/>
    <w:rsid w:val="002A014B"/>
    <w:rsid w:val="002A42F5"/>
    <w:rsid w:val="002B4C25"/>
    <w:rsid w:val="002C3A5E"/>
    <w:rsid w:val="002E2460"/>
    <w:rsid w:val="002E6704"/>
    <w:rsid w:val="002F2A68"/>
    <w:rsid w:val="003018F5"/>
    <w:rsid w:val="003474DC"/>
    <w:rsid w:val="003526B1"/>
    <w:rsid w:val="0037677C"/>
    <w:rsid w:val="00384237"/>
    <w:rsid w:val="003876DC"/>
    <w:rsid w:val="00391E34"/>
    <w:rsid w:val="003B1623"/>
    <w:rsid w:val="003D0BBB"/>
    <w:rsid w:val="003D3F60"/>
    <w:rsid w:val="003D4564"/>
    <w:rsid w:val="003E1CA6"/>
    <w:rsid w:val="00401812"/>
    <w:rsid w:val="00404EF0"/>
    <w:rsid w:val="00406F4F"/>
    <w:rsid w:val="00411873"/>
    <w:rsid w:val="00412228"/>
    <w:rsid w:val="0044374D"/>
    <w:rsid w:val="0046213A"/>
    <w:rsid w:val="004C5052"/>
    <w:rsid w:val="004C5800"/>
    <w:rsid w:val="004D0B16"/>
    <w:rsid w:val="004F16B1"/>
    <w:rsid w:val="004F3446"/>
    <w:rsid w:val="004F5DFF"/>
    <w:rsid w:val="00516775"/>
    <w:rsid w:val="0054306D"/>
    <w:rsid w:val="005669E3"/>
    <w:rsid w:val="00571F37"/>
    <w:rsid w:val="005A1634"/>
    <w:rsid w:val="005A454C"/>
    <w:rsid w:val="005C784B"/>
    <w:rsid w:val="005E0CCE"/>
    <w:rsid w:val="005F2BAF"/>
    <w:rsid w:val="005F37E3"/>
    <w:rsid w:val="00605C79"/>
    <w:rsid w:val="00606312"/>
    <w:rsid w:val="00607385"/>
    <w:rsid w:val="00610444"/>
    <w:rsid w:val="00637A3D"/>
    <w:rsid w:val="00665D4D"/>
    <w:rsid w:val="00684205"/>
    <w:rsid w:val="006A6FDA"/>
    <w:rsid w:val="006E7E42"/>
    <w:rsid w:val="007024B2"/>
    <w:rsid w:val="0071243C"/>
    <w:rsid w:val="00745252"/>
    <w:rsid w:val="007931EE"/>
    <w:rsid w:val="007A4720"/>
    <w:rsid w:val="007B783B"/>
    <w:rsid w:val="007C6C6A"/>
    <w:rsid w:val="007C7DD7"/>
    <w:rsid w:val="007E5BC0"/>
    <w:rsid w:val="00810CDF"/>
    <w:rsid w:val="00814A6C"/>
    <w:rsid w:val="008163DA"/>
    <w:rsid w:val="00822D25"/>
    <w:rsid w:val="008423A0"/>
    <w:rsid w:val="008710FA"/>
    <w:rsid w:val="008A5CA3"/>
    <w:rsid w:val="008B2B14"/>
    <w:rsid w:val="008B4975"/>
    <w:rsid w:val="00931938"/>
    <w:rsid w:val="009405E9"/>
    <w:rsid w:val="00947BFF"/>
    <w:rsid w:val="00970DCE"/>
    <w:rsid w:val="009907C0"/>
    <w:rsid w:val="0099738B"/>
    <w:rsid w:val="009D174E"/>
    <w:rsid w:val="009F0855"/>
    <w:rsid w:val="00A01CCF"/>
    <w:rsid w:val="00A20FDD"/>
    <w:rsid w:val="00A25B52"/>
    <w:rsid w:val="00A312B8"/>
    <w:rsid w:val="00A3645C"/>
    <w:rsid w:val="00A36C43"/>
    <w:rsid w:val="00A46951"/>
    <w:rsid w:val="00A53F52"/>
    <w:rsid w:val="00A64731"/>
    <w:rsid w:val="00A66D7B"/>
    <w:rsid w:val="00A82A18"/>
    <w:rsid w:val="00A91B84"/>
    <w:rsid w:val="00AA737A"/>
    <w:rsid w:val="00AC4145"/>
    <w:rsid w:val="00AD3D62"/>
    <w:rsid w:val="00AE4910"/>
    <w:rsid w:val="00AE51E6"/>
    <w:rsid w:val="00B264EC"/>
    <w:rsid w:val="00B322CB"/>
    <w:rsid w:val="00B41F70"/>
    <w:rsid w:val="00B51189"/>
    <w:rsid w:val="00B76820"/>
    <w:rsid w:val="00B951ED"/>
    <w:rsid w:val="00BF775E"/>
    <w:rsid w:val="00C13256"/>
    <w:rsid w:val="00C273B4"/>
    <w:rsid w:val="00C27D76"/>
    <w:rsid w:val="00C30358"/>
    <w:rsid w:val="00C32449"/>
    <w:rsid w:val="00C32F93"/>
    <w:rsid w:val="00C43306"/>
    <w:rsid w:val="00C6096C"/>
    <w:rsid w:val="00C6213E"/>
    <w:rsid w:val="00C945D4"/>
    <w:rsid w:val="00CA27F2"/>
    <w:rsid w:val="00CA52B4"/>
    <w:rsid w:val="00CB36A5"/>
    <w:rsid w:val="00CB62F1"/>
    <w:rsid w:val="00CB7396"/>
    <w:rsid w:val="00CC6016"/>
    <w:rsid w:val="00CF361A"/>
    <w:rsid w:val="00CF36C8"/>
    <w:rsid w:val="00CF5FFE"/>
    <w:rsid w:val="00CF61E6"/>
    <w:rsid w:val="00D63F21"/>
    <w:rsid w:val="00D64864"/>
    <w:rsid w:val="00D672AD"/>
    <w:rsid w:val="00D72877"/>
    <w:rsid w:val="00D75D9C"/>
    <w:rsid w:val="00D90A03"/>
    <w:rsid w:val="00D9122F"/>
    <w:rsid w:val="00DB498E"/>
    <w:rsid w:val="00DB57E0"/>
    <w:rsid w:val="00DC22C5"/>
    <w:rsid w:val="00DC5FEC"/>
    <w:rsid w:val="00E02921"/>
    <w:rsid w:val="00E37BB3"/>
    <w:rsid w:val="00E426E4"/>
    <w:rsid w:val="00E46B80"/>
    <w:rsid w:val="00E60371"/>
    <w:rsid w:val="00E66249"/>
    <w:rsid w:val="00E836BD"/>
    <w:rsid w:val="00E94BC3"/>
    <w:rsid w:val="00EA2DC9"/>
    <w:rsid w:val="00ED4856"/>
    <w:rsid w:val="00EF31D7"/>
    <w:rsid w:val="00EF4A39"/>
    <w:rsid w:val="00EF60EA"/>
    <w:rsid w:val="00F02FED"/>
    <w:rsid w:val="00F22EAC"/>
    <w:rsid w:val="00F30A63"/>
    <w:rsid w:val="00F93FE8"/>
    <w:rsid w:val="00FA1DA1"/>
    <w:rsid w:val="00FB23CF"/>
    <w:rsid w:val="00FD6113"/>
    <w:rsid w:val="00FE1F89"/>
    <w:rsid w:val="00FE2736"/>
    <w:rsid w:val="00FE6702"/>
    <w:rsid w:val="00FF27B3"/>
    <w:rsid w:val="00FF5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0A36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FEC"/>
    <w:pPr>
      <w:spacing w:after="20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vi">
    <w:name w:val="Novi"/>
    <w:basedOn w:val="Normal"/>
    <w:link w:val="NoviChar"/>
    <w:qFormat/>
    <w:rsid w:val="002E6704"/>
    <w:pPr>
      <w:spacing w:after="160" w:line="256" w:lineRule="auto"/>
      <w:jc w:val="both"/>
    </w:pPr>
    <w:rPr>
      <w:lang w:val="sr-Cyrl-RS"/>
    </w:rPr>
  </w:style>
  <w:style w:type="character" w:customStyle="1" w:styleId="NoviChar">
    <w:name w:val="Novi Char"/>
    <w:basedOn w:val="DefaultParagraphFont"/>
    <w:link w:val="Novi"/>
    <w:rsid w:val="002E6704"/>
    <w:rPr>
      <w:rFonts w:ascii="Times New Roman" w:hAnsi="Times New Roman"/>
      <w:sz w:val="24"/>
      <w:lang w:val="sr-Cyrl-RS"/>
    </w:rPr>
  </w:style>
  <w:style w:type="paragraph" w:styleId="Header">
    <w:name w:val="header"/>
    <w:basedOn w:val="Normal"/>
    <w:link w:val="HeaderChar"/>
    <w:uiPriority w:val="99"/>
    <w:unhideWhenUsed/>
    <w:rsid w:val="001C50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09F"/>
    <w:rPr>
      <w:rFonts w:ascii="Times New Roman" w:hAnsi="Times New Roman"/>
      <w:sz w:val="24"/>
    </w:rPr>
  </w:style>
  <w:style w:type="paragraph" w:styleId="Footer">
    <w:name w:val="footer"/>
    <w:basedOn w:val="Normal"/>
    <w:link w:val="FooterChar"/>
    <w:uiPriority w:val="99"/>
    <w:unhideWhenUsed/>
    <w:rsid w:val="001C50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09F"/>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1071</Words>
  <Characters>6111</Characters>
  <Application>Microsoft Office Word</Application>
  <DocSecurity>0</DocSecurity>
  <Lines>50</Lines>
  <Paragraphs>14</Paragraphs>
  <ScaleCrop>false</ScaleCrop>
  <Company/>
  <LinksUpToDate>false</LinksUpToDate>
  <CharactersWithSpaces>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2019-06-07T11:31:00Z</dcterms:created>
  <dcterms:modified xsi:type="dcterms:W3CDTF">2019-06-07T11:31:00Z</dcterms:modified>
</cp:coreProperties>
</file>