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B9EA7" w14:textId="754425EA" w:rsidR="00600AFD" w:rsidRPr="00600AFD" w:rsidRDefault="00600AFD" w:rsidP="00600AFD">
      <w:pPr>
        <w:pStyle w:val="ListParagraph"/>
        <w:ind w:left="0"/>
        <w:rPr>
          <w:rFonts w:ascii="Times New Roman" w:hAnsi="Times New Roman" w:cs="Times New Roman"/>
          <w:bCs/>
          <w:szCs w:val="24"/>
        </w:rPr>
      </w:pPr>
      <w:r w:rsidRPr="00600AFD">
        <w:rPr>
          <w:rFonts w:ascii="Times New Roman" w:hAnsi="Times New Roman" w:cs="Times New Roman"/>
          <w:bCs/>
          <w:szCs w:val="24"/>
        </w:rPr>
        <w:t xml:space="preserve">Based on Article 38 Paragraph 1 of the Law on </w:t>
      </w:r>
      <w:r>
        <w:rPr>
          <w:rFonts w:ascii="Times New Roman" w:hAnsi="Times New Roman" w:cs="Times New Roman"/>
          <w:bCs/>
          <w:szCs w:val="24"/>
        </w:rPr>
        <w:t xml:space="preserve">the </w:t>
      </w:r>
      <w:r w:rsidRPr="00600AFD">
        <w:rPr>
          <w:rFonts w:ascii="Times New Roman" w:hAnsi="Times New Roman" w:cs="Times New Roman"/>
          <w:bCs/>
          <w:szCs w:val="24"/>
        </w:rPr>
        <w:t>Planning System (“Official Gazette RS”, No. 30/18),</w:t>
      </w:r>
    </w:p>
    <w:p w14:paraId="2793E74B" w14:textId="2532CA13" w:rsidR="00600AFD" w:rsidRPr="00600AFD" w:rsidRDefault="00600AFD" w:rsidP="00600AFD">
      <w:pPr>
        <w:pStyle w:val="ListParagraph"/>
        <w:ind w:left="0"/>
        <w:rPr>
          <w:rFonts w:ascii="Times New Roman" w:hAnsi="Times New Roman" w:cs="Times New Roman"/>
          <w:bCs/>
          <w:szCs w:val="24"/>
        </w:rPr>
      </w:pPr>
      <w:r w:rsidRPr="00600AFD">
        <w:rPr>
          <w:rFonts w:ascii="Times New Roman" w:hAnsi="Times New Roman" w:cs="Times New Roman"/>
          <w:bCs/>
          <w:szCs w:val="24"/>
        </w:rPr>
        <w:t>The Government adopts</w:t>
      </w:r>
    </w:p>
    <w:p w14:paraId="7C136FCF" w14:textId="77777777" w:rsidR="00600AFD" w:rsidRDefault="00600AFD" w:rsidP="00600AFD">
      <w:pPr>
        <w:pStyle w:val="ListParagraph"/>
        <w:spacing w:line="276" w:lineRule="auto"/>
        <w:ind w:left="0"/>
        <w:rPr>
          <w:rFonts w:ascii="Times New Roman" w:hAnsi="Times New Roman" w:cs="Times New Roman"/>
          <w:b/>
          <w:szCs w:val="24"/>
        </w:rPr>
      </w:pPr>
    </w:p>
    <w:p w14:paraId="1C10F5B6" w14:textId="10B552B6" w:rsidR="00600AFD" w:rsidRDefault="00600AFD" w:rsidP="00600AFD">
      <w:pPr>
        <w:pStyle w:val="ListParagraph"/>
        <w:spacing w:line="276" w:lineRule="auto"/>
        <w:ind w:left="0"/>
        <w:jc w:val="center"/>
        <w:rPr>
          <w:rFonts w:ascii="Times New Roman" w:hAnsi="Times New Roman" w:cs="Times New Roman"/>
          <w:b/>
          <w:szCs w:val="24"/>
        </w:rPr>
      </w:pPr>
      <w:r w:rsidRPr="00600AFD">
        <w:rPr>
          <w:rFonts w:ascii="Times New Roman" w:hAnsi="Times New Roman" w:cs="Times New Roman"/>
          <w:b/>
          <w:szCs w:val="24"/>
        </w:rPr>
        <w:t>JUDICIAL</w:t>
      </w:r>
    </w:p>
    <w:p w14:paraId="7479AC87" w14:textId="77777777" w:rsidR="00600AFD" w:rsidRDefault="00600AFD" w:rsidP="00600AFD">
      <w:pPr>
        <w:pStyle w:val="ListParagraph"/>
        <w:spacing w:line="276" w:lineRule="auto"/>
        <w:ind w:left="0"/>
        <w:jc w:val="center"/>
        <w:rPr>
          <w:rFonts w:ascii="Times New Roman" w:hAnsi="Times New Roman" w:cs="Times New Roman"/>
          <w:b/>
          <w:szCs w:val="24"/>
        </w:rPr>
      </w:pPr>
      <w:r w:rsidRPr="00600AFD">
        <w:rPr>
          <w:rFonts w:ascii="Times New Roman" w:hAnsi="Times New Roman" w:cs="Times New Roman"/>
          <w:b/>
          <w:szCs w:val="24"/>
        </w:rPr>
        <w:t>DEVELOPMENT STRATEGY</w:t>
      </w:r>
    </w:p>
    <w:p w14:paraId="33FCBA75" w14:textId="7A3B3A4B" w:rsidR="0038313B" w:rsidRPr="00600AFD" w:rsidRDefault="00600AFD" w:rsidP="00600AFD">
      <w:pPr>
        <w:pStyle w:val="ListParagraph"/>
        <w:spacing w:line="276" w:lineRule="auto"/>
        <w:ind w:left="0"/>
        <w:jc w:val="center"/>
        <w:rPr>
          <w:rFonts w:ascii="Times New Roman" w:hAnsi="Times New Roman" w:cs="Times New Roman"/>
          <w:b/>
          <w:szCs w:val="24"/>
        </w:rPr>
      </w:pPr>
      <w:r w:rsidRPr="00600AFD">
        <w:rPr>
          <w:rFonts w:ascii="Times New Roman" w:hAnsi="Times New Roman" w:cs="Times New Roman"/>
          <w:b/>
          <w:szCs w:val="24"/>
        </w:rPr>
        <w:t xml:space="preserve">for the period </w:t>
      </w:r>
      <w:r w:rsidR="00B04092">
        <w:rPr>
          <w:rFonts w:ascii="Times New Roman" w:hAnsi="Times New Roman" w:cs="Times New Roman"/>
          <w:b/>
          <w:szCs w:val="24"/>
        </w:rPr>
        <w:t xml:space="preserve">of </w:t>
      </w:r>
      <w:r w:rsidRPr="00600AFD">
        <w:rPr>
          <w:rFonts w:ascii="Times New Roman" w:hAnsi="Times New Roman" w:cs="Times New Roman"/>
          <w:b/>
          <w:szCs w:val="24"/>
        </w:rPr>
        <w:t>2020</w:t>
      </w:r>
      <w:r w:rsidR="000F3999" w:rsidRPr="000F3999">
        <w:rPr>
          <w:rFonts w:ascii="Times New Roman" w:hAnsi="Times New Roman" w:cs="Times New Roman"/>
          <w:b/>
          <w:bCs/>
          <w:lang w:val="sr-Cyrl-RS"/>
        </w:rPr>
        <w:t>–</w:t>
      </w:r>
      <w:r w:rsidRPr="00600AFD">
        <w:rPr>
          <w:rFonts w:ascii="Times New Roman" w:hAnsi="Times New Roman" w:cs="Times New Roman"/>
          <w:b/>
          <w:szCs w:val="24"/>
        </w:rPr>
        <w:t xml:space="preserve">2025 </w:t>
      </w:r>
      <w:r w:rsidRPr="00600AFD">
        <w:rPr>
          <w:rFonts w:ascii="Times New Roman" w:hAnsi="Times New Roman" w:cs="Times New Roman"/>
          <w:b/>
          <w:szCs w:val="24"/>
        </w:rPr>
        <w:tab/>
      </w:r>
    </w:p>
    <w:p w14:paraId="0189EDE7" w14:textId="77777777" w:rsidR="0038313B" w:rsidRPr="00600AFD" w:rsidRDefault="0038313B" w:rsidP="0038313B">
      <w:pPr>
        <w:pStyle w:val="ListParagraph"/>
        <w:ind w:left="0"/>
        <w:jc w:val="center"/>
        <w:rPr>
          <w:rFonts w:ascii="Times New Roman" w:hAnsi="Times New Roman" w:cs="Times New Roman"/>
          <w:b/>
          <w:szCs w:val="24"/>
        </w:rPr>
      </w:pPr>
    </w:p>
    <w:p w14:paraId="0D69211A" w14:textId="7EABD8BB" w:rsidR="0038313B" w:rsidRPr="00600AFD" w:rsidRDefault="005A01AD" w:rsidP="00F40D25">
      <w:pPr>
        <w:pStyle w:val="Heading1"/>
        <w:numPr>
          <w:ilvl w:val="0"/>
          <w:numId w:val="29"/>
        </w:numPr>
        <w:rPr>
          <w:rFonts w:ascii="Times New Roman" w:hAnsi="Times New Roman"/>
          <w:sz w:val="24"/>
        </w:rPr>
      </w:pPr>
      <w:bookmarkStart w:id="0" w:name="_Toc39707743"/>
      <w:r w:rsidRPr="00600AFD">
        <w:rPr>
          <w:rFonts w:ascii="Times New Roman" w:hAnsi="Times New Roman"/>
          <w:sz w:val="24"/>
        </w:rPr>
        <w:t>INTRODUCTION</w:t>
      </w:r>
      <w:bookmarkEnd w:id="0"/>
    </w:p>
    <w:p w14:paraId="15279E2B" w14:textId="77777777" w:rsidR="00320553" w:rsidRPr="00600AFD" w:rsidRDefault="006F2A73" w:rsidP="00D01F31">
      <w:pPr>
        <w:pStyle w:val="Heading2"/>
        <w:numPr>
          <w:ilvl w:val="0"/>
          <w:numId w:val="7"/>
        </w:numPr>
        <w:spacing w:before="240" w:after="240"/>
        <w:ind w:left="993"/>
        <w:rPr>
          <w:rFonts w:ascii="Times New Roman" w:hAnsi="Times New Roman" w:cs="Times New Roman"/>
          <w:szCs w:val="24"/>
        </w:rPr>
      </w:pPr>
      <w:bookmarkStart w:id="1" w:name="_Toc39707744"/>
      <w:r w:rsidRPr="00600AFD">
        <w:rPr>
          <w:rFonts w:ascii="Times New Roman" w:hAnsi="Times New Roman" w:cs="Times New Roman"/>
          <w:szCs w:val="24"/>
        </w:rPr>
        <w:t xml:space="preserve">Rationale for Strategy </w:t>
      </w:r>
      <w:r w:rsidR="00B67B6B" w:rsidRPr="00600AFD">
        <w:rPr>
          <w:rFonts w:ascii="Times New Roman" w:hAnsi="Times New Roman" w:cs="Times New Roman"/>
          <w:szCs w:val="24"/>
        </w:rPr>
        <w:t>A</w:t>
      </w:r>
      <w:r w:rsidRPr="00600AFD">
        <w:rPr>
          <w:rFonts w:ascii="Times New Roman" w:hAnsi="Times New Roman" w:cs="Times New Roman"/>
          <w:szCs w:val="24"/>
        </w:rPr>
        <w:t>doption</w:t>
      </w:r>
      <w:bookmarkEnd w:id="1"/>
    </w:p>
    <w:p w14:paraId="2BEB822F" w14:textId="7C2432A2" w:rsidR="007C4578" w:rsidRPr="00600AFD" w:rsidRDefault="0034605C" w:rsidP="007C4578">
      <w:pPr>
        <w:spacing w:line="276" w:lineRule="auto"/>
        <w:rPr>
          <w:rFonts w:ascii="Times New Roman" w:hAnsi="Times New Roman" w:cs="Times New Roman"/>
          <w:szCs w:val="24"/>
        </w:rPr>
      </w:pPr>
      <w:r w:rsidRPr="00600AFD">
        <w:rPr>
          <w:rFonts w:ascii="Times New Roman" w:hAnsi="Times New Roman" w:cs="Times New Roman"/>
          <w:szCs w:val="24"/>
        </w:rPr>
        <w:t xml:space="preserve">Development </w:t>
      </w:r>
      <w:r w:rsidR="006168D4" w:rsidRPr="00600AFD">
        <w:rPr>
          <w:rFonts w:ascii="Times New Roman" w:hAnsi="Times New Roman" w:cs="Times New Roman"/>
          <w:szCs w:val="24"/>
        </w:rPr>
        <w:t xml:space="preserve">of the judiciary </w:t>
      </w:r>
      <w:r w:rsidR="00312C6A" w:rsidRPr="00600AFD">
        <w:rPr>
          <w:rFonts w:ascii="Times New Roman" w:hAnsi="Times New Roman" w:cs="Times New Roman"/>
          <w:szCs w:val="24"/>
        </w:rPr>
        <w:t xml:space="preserve">is </w:t>
      </w:r>
      <w:r w:rsidR="00292476" w:rsidRPr="00600AFD">
        <w:rPr>
          <w:rFonts w:ascii="Times New Roman" w:hAnsi="Times New Roman" w:cs="Times New Roman"/>
          <w:szCs w:val="24"/>
        </w:rPr>
        <w:t xml:space="preserve">a </w:t>
      </w:r>
      <w:r w:rsidR="00312C6A" w:rsidRPr="00600AFD">
        <w:rPr>
          <w:rFonts w:ascii="Times New Roman" w:hAnsi="Times New Roman" w:cs="Times New Roman"/>
          <w:szCs w:val="24"/>
        </w:rPr>
        <w:t>key priorit</w:t>
      </w:r>
      <w:r w:rsidR="00292476" w:rsidRPr="00600AFD">
        <w:rPr>
          <w:rFonts w:ascii="Times New Roman" w:hAnsi="Times New Roman" w:cs="Times New Roman"/>
          <w:szCs w:val="24"/>
        </w:rPr>
        <w:t>y</w:t>
      </w:r>
      <w:r w:rsidR="00312C6A" w:rsidRPr="00600AFD">
        <w:rPr>
          <w:rFonts w:ascii="Times New Roman" w:hAnsi="Times New Roman" w:cs="Times New Roman"/>
          <w:szCs w:val="24"/>
        </w:rPr>
        <w:t xml:space="preserve"> </w:t>
      </w:r>
      <w:r w:rsidR="00C70472" w:rsidRPr="00600AFD">
        <w:rPr>
          <w:rFonts w:ascii="Times New Roman" w:hAnsi="Times New Roman" w:cs="Times New Roman"/>
          <w:szCs w:val="24"/>
        </w:rPr>
        <w:t>for the Republic of Serbia</w:t>
      </w:r>
      <w:r w:rsidR="00D61F3B" w:rsidRPr="00600AFD">
        <w:rPr>
          <w:rFonts w:ascii="Times New Roman" w:hAnsi="Times New Roman" w:cs="Times New Roman"/>
          <w:szCs w:val="24"/>
        </w:rPr>
        <w:t>,</w:t>
      </w:r>
      <w:r w:rsidR="00C61538" w:rsidRPr="00600AFD">
        <w:rPr>
          <w:rFonts w:ascii="Times New Roman" w:hAnsi="Times New Roman" w:cs="Times New Roman"/>
          <w:szCs w:val="24"/>
        </w:rPr>
        <w:t xml:space="preserve"> as well as a permanent process of modernization </w:t>
      </w:r>
      <w:r w:rsidR="007E0CEC" w:rsidRPr="00600AFD">
        <w:rPr>
          <w:rFonts w:ascii="Times New Roman" w:hAnsi="Times New Roman" w:cs="Times New Roman"/>
          <w:szCs w:val="24"/>
        </w:rPr>
        <w:t xml:space="preserve">and </w:t>
      </w:r>
      <w:r w:rsidR="0057328D" w:rsidRPr="00600AFD">
        <w:rPr>
          <w:rFonts w:ascii="Times New Roman" w:hAnsi="Times New Roman" w:cs="Times New Roman"/>
          <w:szCs w:val="24"/>
        </w:rPr>
        <w:t xml:space="preserve">harmonization </w:t>
      </w:r>
      <w:r w:rsidR="00F10FF4" w:rsidRPr="00600AFD">
        <w:rPr>
          <w:rFonts w:ascii="Times New Roman" w:hAnsi="Times New Roman" w:cs="Times New Roman"/>
          <w:szCs w:val="24"/>
        </w:rPr>
        <w:t xml:space="preserve">of </w:t>
      </w:r>
      <w:r w:rsidR="00C55662" w:rsidRPr="00600AFD">
        <w:rPr>
          <w:rFonts w:ascii="Times New Roman" w:hAnsi="Times New Roman" w:cs="Times New Roman"/>
          <w:szCs w:val="24"/>
        </w:rPr>
        <w:t xml:space="preserve">the </w:t>
      </w:r>
      <w:r w:rsidR="00F10FF4" w:rsidRPr="00600AFD">
        <w:rPr>
          <w:rFonts w:ascii="Times New Roman" w:hAnsi="Times New Roman" w:cs="Times New Roman"/>
          <w:szCs w:val="24"/>
        </w:rPr>
        <w:t xml:space="preserve">judiciary </w:t>
      </w:r>
      <w:r w:rsidR="00D37856" w:rsidRPr="00600AFD">
        <w:rPr>
          <w:rFonts w:ascii="Times New Roman" w:hAnsi="Times New Roman" w:cs="Times New Roman"/>
          <w:szCs w:val="24"/>
        </w:rPr>
        <w:t>in line with the</w:t>
      </w:r>
      <w:r w:rsidR="0046020A" w:rsidRPr="00600AFD">
        <w:rPr>
          <w:rFonts w:ascii="Times New Roman" w:hAnsi="Times New Roman" w:cs="Times New Roman"/>
          <w:szCs w:val="24"/>
        </w:rPr>
        <w:t xml:space="preserve"> needs of the state and society</w:t>
      </w:r>
      <w:r w:rsidR="00D37856" w:rsidRPr="00600AFD">
        <w:rPr>
          <w:rFonts w:ascii="Times New Roman" w:hAnsi="Times New Roman" w:cs="Times New Roman"/>
          <w:szCs w:val="24"/>
        </w:rPr>
        <w:t>,</w:t>
      </w:r>
      <w:r w:rsidR="00F307E8" w:rsidRPr="00600AFD">
        <w:rPr>
          <w:rFonts w:ascii="Times New Roman" w:hAnsi="Times New Roman" w:cs="Times New Roman"/>
          <w:szCs w:val="24"/>
        </w:rPr>
        <w:t xml:space="preserve"> </w:t>
      </w:r>
      <w:r w:rsidR="00F10FF4" w:rsidRPr="00600AFD">
        <w:rPr>
          <w:rFonts w:ascii="Times New Roman" w:hAnsi="Times New Roman" w:cs="Times New Roman"/>
          <w:szCs w:val="24"/>
        </w:rPr>
        <w:t>with</w:t>
      </w:r>
      <w:r w:rsidR="001941C6" w:rsidRPr="00600AFD">
        <w:rPr>
          <w:rFonts w:ascii="Times New Roman" w:hAnsi="Times New Roman" w:cs="Times New Roman"/>
          <w:szCs w:val="24"/>
        </w:rPr>
        <w:t xml:space="preserve"> </w:t>
      </w:r>
      <w:r w:rsidR="00377B75" w:rsidRPr="00600AFD">
        <w:rPr>
          <w:rFonts w:ascii="Times New Roman" w:hAnsi="Times New Roman" w:cs="Times New Roman"/>
          <w:szCs w:val="24"/>
        </w:rPr>
        <w:t xml:space="preserve">a view to ensuring rule of law </w:t>
      </w:r>
      <w:r w:rsidR="00063F9F" w:rsidRPr="00600AFD">
        <w:rPr>
          <w:rFonts w:ascii="Times New Roman" w:hAnsi="Times New Roman" w:cs="Times New Roman"/>
          <w:szCs w:val="24"/>
        </w:rPr>
        <w:t xml:space="preserve">and </w:t>
      </w:r>
      <w:r w:rsidR="001E6ADA" w:rsidRPr="00600AFD">
        <w:rPr>
          <w:rFonts w:ascii="Times New Roman" w:hAnsi="Times New Roman" w:cs="Times New Roman"/>
          <w:szCs w:val="24"/>
        </w:rPr>
        <w:t>enhanc</w:t>
      </w:r>
      <w:r w:rsidR="00995805" w:rsidRPr="00600AFD">
        <w:rPr>
          <w:rFonts w:ascii="Times New Roman" w:hAnsi="Times New Roman" w:cs="Times New Roman"/>
          <w:szCs w:val="24"/>
        </w:rPr>
        <w:t>ing</w:t>
      </w:r>
      <w:r w:rsidR="001E6ADA" w:rsidRPr="00600AFD">
        <w:rPr>
          <w:rFonts w:ascii="Times New Roman" w:hAnsi="Times New Roman" w:cs="Times New Roman"/>
          <w:szCs w:val="24"/>
        </w:rPr>
        <w:t xml:space="preserve"> legal certainty. </w:t>
      </w:r>
      <w:r w:rsidR="00B82ECB" w:rsidRPr="00600AFD">
        <w:rPr>
          <w:rFonts w:ascii="Times New Roman" w:hAnsi="Times New Roman" w:cs="Times New Roman"/>
          <w:szCs w:val="24"/>
        </w:rPr>
        <w:t xml:space="preserve">Development of the judiciary ensures consistent application of the </w:t>
      </w:r>
      <w:r w:rsidR="004C6331" w:rsidRPr="00600AFD">
        <w:rPr>
          <w:rFonts w:ascii="Times New Roman" w:hAnsi="Times New Roman" w:cs="Times New Roman"/>
          <w:szCs w:val="24"/>
        </w:rPr>
        <w:t xml:space="preserve">principle of </w:t>
      </w:r>
      <w:r w:rsidR="008E788F" w:rsidRPr="00600AFD">
        <w:rPr>
          <w:rFonts w:ascii="Times New Roman" w:hAnsi="Times New Roman" w:cs="Times New Roman"/>
          <w:szCs w:val="24"/>
        </w:rPr>
        <w:t xml:space="preserve">separation of powers in a democratic society </w:t>
      </w:r>
      <w:r w:rsidR="00D61F3B" w:rsidRPr="00600AFD">
        <w:rPr>
          <w:rFonts w:ascii="Times New Roman" w:hAnsi="Times New Roman" w:cs="Times New Roman"/>
          <w:szCs w:val="24"/>
        </w:rPr>
        <w:t>governed by</w:t>
      </w:r>
      <w:r w:rsidR="00410EA9" w:rsidRPr="00600AFD">
        <w:rPr>
          <w:rFonts w:ascii="Times New Roman" w:hAnsi="Times New Roman" w:cs="Times New Roman"/>
          <w:szCs w:val="24"/>
        </w:rPr>
        <w:t xml:space="preserve"> the rule of law in accordance with the Constitution of the Republic of Serbia. </w:t>
      </w:r>
      <w:r w:rsidR="00D61F3B" w:rsidRPr="00600AFD">
        <w:rPr>
          <w:rFonts w:ascii="Times New Roman" w:hAnsi="Times New Roman" w:cs="Times New Roman"/>
          <w:szCs w:val="24"/>
        </w:rPr>
        <w:t>An i</w:t>
      </w:r>
      <w:r w:rsidR="00B4127B" w:rsidRPr="00600AFD">
        <w:rPr>
          <w:rFonts w:ascii="Times New Roman" w:hAnsi="Times New Roman" w:cs="Times New Roman"/>
          <w:szCs w:val="24"/>
        </w:rPr>
        <w:t>ndependent, impartial, accountable</w:t>
      </w:r>
      <w:r w:rsidR="00D356E1" w:rsidRPr="00600AFD">
        <w:rPr>
          <w:rFonts w:ascii="Times New Roman" w:hAnsi="Times New Roman" w:cs="Times New Roman"/>
          <w:szCs w:val="24"/>
        </w:rPr>
        <w:t xml:space="preserve">, </w:t>
      </w:r>
      <w:r w:rsidR="00B9356E" w:rsidRPr="00600AFD">
        <w:rPr>
          <w:rFonts w:ascii="Times New Roman" w:hAnsi="Times New Roman" w:cs="Times New Roman"/>
          <w:szCs w:val="24"/>
        </w:rPr>
        <w:t>competent</w:t>
      </w:r>
      <w:r w:rsidR="00C55662" w:rsidRPr="00600AFD">
        <w:rPr>
          <w:rFonts w:ascii="Times New Roman" w:hAnsi="Times New Roman" w:cs="Times New Roman"/>
          <w:szCs w:val="24"/>
        </w:rPr>
        <w:t>,</w:t>
      </w:r>
      <w:r w:rsidR="00F63DEE" w:rsidRPr="00600AFD">
        <w:rPr>
          <w:rFonts w:ascii="Times New Roman" w:hAnsi="Times New Roman" w:cs="Times New Roman"/>
          <w:szCs w:val="24"/>
        </w:rPr>
        <w:t xml:space="preserve"> </w:t>
      </w:r>
      <w:r w:rsidR="005743F1" w:rsidRPr="00600AFD">
        <w:rPr>
          <w:rFonts w:ascii="Times New Roman" w:hAnsi="Times New Roman" w:cs="Times New Roman"/>
          <w:szCs w:val="24"/>
        </w:rPr>
        <w:t xml:space="preserve">and efficient judiciary is a prerequisite </w:t>
      </w:r>
      <w:r w:rsidR="003B12A9" w:rsidRPr="00600AFD">
        <w:rPr>
          <w:rFonts w:ascii="Times New Roman" w:hAnsi="Times New Roman" w:cs="Times New Roman"/>
          <w:szCs w:val="24"/>
        </w:rPr>
        <w:t xml:space="preserve">for </w:t>
      </w:r>
      <w:r w:rsidR="00A51406" w:rsidRPr="00600AFD">
        <w:rPr>
          <w:rFonts w:ascii="Times New Roman" w:hAnsi="Times New Roman" w:cs="Times New Roman"/>
          <w:szCs w:val="24"/>
        </w:rPr>
        <w:t>tackling day</w:t>
      </w:r>
      <w:r w:rsidR="000F3999">
        <w:rPr>
          <w:rFonts w:ascii="Times New Roman" w:hAnsi="Times New Roman" w:cs="Times New Roman"/>
          <w:szCs w:val="24"/>
        </w:rPr>
        <w:t>–</w:t>
      </w:r>
      <w:r w:rsidR="00A51406" w:rsidRPr="00600AFD">
        <w:rPr>
          <w:rFonts w:ascii="Times New Roman" w:hAnsi="Times New Roman" w:cs="Times New Roman"/>
          <w:szCs w:val="24"/>
        </w:rPr>
        <w:t>to</w:t>
      </w:r>
      <w:r w:rsidR="000F3999">
        <w:rPr>
          <w:rFonts w:ascii="Times New Roman" w:hAnsi="Times New Roman" w:cs="Times New Roman"/>
          <w:szCs w:val="24"/>
        </w:rPr>
        <w:t>–</w:t>
      </w:r>
      <w:r w:rsidR="00A51406" w:rsidRPr="00600AFD">
        <w:rPr>
          <w:rFonts w:ascii="Times New Roman" w:hAnsi="Times New Roman" w:cs="Times New Roman"/>
          <w:szCs w:val="24"/>
        </w:rPr>
        <w:t xml:space="preserve">day challenges </w:t>
      </w:r>
      <w:r w:rsidR="00164B42" w:rsidRPr="00600AFD">
        <w:rPr>
          <w:rFonts w:ascii="Times New Roman" w:hAnsi="Times New Roman" w:cs="Times New Roman"/>
          <w:szCs w:val="24"/>
        </w:rPr>
        <w:t xml:space="preserve">of transition and globalization. </w:t>
      </w:r>
      <w:r w:rsidR="000C1451" w:rsidRPr="00600AFD">
        <w:rPr>
          <w:rFonts w:ascii="Times New Roman" w:hAnsi="Times New Roman" w:cs="Times New Roman"/>
          <w:szCs w:val="24"/>
        </w:rPr>
        <w:t xml:space="preserve">Hence, its modernization, through </w:t>
      </w:r>
      <w:r w:rsidR="00454536" w:rsidRPr="00600AFD">
        <w:rPr>
          <w:rFonts w:ascii="Times New Roman" w:hAnsi="Times New Roman" w:cs="Times New Roman"/>
          <w:szCs w:val="24"/>
        </w:rPr>
        <w:t xml:space="preserve">application of </w:t>
      </w:r>
      <w:r w:rsidR="000C1451" w:rsidRPr="00600AFD">
        <w:rPr>
          <w:rFonts w:ascii="Times New Roman" w:hAnsi="Times New Roman" w:cs="Times New Roman"/>
          <w:szCs w:val="24"/>
        </w:rPr>
        <w:t>creative normative and organizational</w:t>
      </w:r>
      <w:r w:rsidR="00A31FCA" w:rsidRPr="00600AFD">
        <w:rPr>
          <w:rFonts w:ascii="Times New Roman" w:hAnsi="Times New Roman" w:cs="Times New Roman"/>
          <w:szCs w:val="24"/>
        </w:rPr>
        <w:t xml:space="preserve"> solutions</w:t>
      </w:r>
      <w:r w:rsidR="00E30F96" w:rsidRPr="00600AFD">
        <w:rPr>
          <w:rFonts w:ascii="Times New Roman" w:hAnsi="Times New Roman" w:cs="Times New Roman"/>
          <w:szCs w:val="24"/>
        </w:rPr>
        <w:t xml:space="preserve"> and </w:t>
      </w:r>
      <w:r w:rsidR="00551D0F" w:rsidRPr="00600AFD">
        <w:rPr>
          <w:rFonts w:ascii="Times New Roman" w:hAnsi="Times New Roman" w:cs="Times New Roman"/>
          <w:szCs w:val="24"/>
        </w:rPr>
        <w:t xml:space="preserve">openness </w:t>
      </w:r>
      <w:r w:rsidR="00E30F96" w:rsidRPr="00600AFD">
        <w:rPr>
          <w:rFonts w:ascii="Times New Roman" w:hAnsi="Times New Roman" w:cs="Times New Roman"/>
          <w:szCs w:val="24"/>
        </w:rPr>
        <w:t>to the public</w:t>
      </w:r>
      <w:r w:rsidR="00454536" w:rsidRPr="00600AFD">
        <w:rPr>
          <w:rFonts w:ascii="Times New Roman" w:hAnsi="Times New Roman" w:cs="Times New Roman"/>
          <w:szCs w:val="24"/>
        </w:rPr>
        <w:t xml:space="preserve">, is the </w:t>
      </w:r>
      <w:r w:rsidR="00517910" w:rsidRPr="00600AFD">
        <w:rPr>
          <w:rFonts w:ascii="Times New Roman" w:hAnsi="Times New Roman" w:cs="Times New Roman"/>
          <w:szCs w:val="24"/>
        </w:rPr>
        <w:t xml:space="preserve">only </w:t>
      </w:r>
      <w:r w:rsidR="008A3945" w:rsidRPr="00600AFD">
        <w:rPr>
          <w:rFonts w:ascii="Times New Roman" w:hAnsi="Times New Roman" w:cs="Times New Roman"/>
          <w:szCs w:val="24"/>
        </w:rPr>
        <w:t xml:space="preserve">viable </w:t>
      </w:r>
      <w:r w:rsidR="00517910" w:rsidRPr="00600AFD">
        <w:rPr>
          <w:rFonts w:ascii="Times New Roman" w:hAnsi="Times New Roman" w:cs="Times New Roman"/>
          <w:szCs w:val="24"/>
        </w:rPr>
        <w:t>response</w:t>
      </w:r>
      <w:r w:rsidR="008A3945" w:rsidRPr="00600AFD">
        <w:rPr>
          <w:rFonts w:ascii="Times New Roman" w:hAnsi="Times New Roman" w:cs="Times New Roman"/>
          <w:szCs w:val="24"/>
        </w:rPr>
        <w:t xml:space="preserve"> to </w:t>
      </w:r>
      <w:r w:rsidR="00D61F3B" w:rsidRPr="00600AFD">
        <w:rPr>
          <w:rFonts w:ascii="Times New Roman" w:hAnsi="Times New Roman" w:cs="Times New Roman"/>
          <w:szCs w:val="24"/>
        </w:rPr>
        <w:t>the</w:t>
      </w:r>
      <w:r w:rsidR="008A3945" w:rsidRPr="00600AFD">
        <w:rPr>
          <w:rFonts w:ascii="Times New Roman" w:hAnsi="Times New Roman" w:cs="Times New Roman"/>
          <w:szCs w:val="24"/>
        </w:rPr>
        <w:t xml:space="preserve"> high degree of complexity and </w:t>
      </w:r>
      <w:r w:rsidR="0023150C" w:rsidRPr="00600AFD">
        <w:rPr>
          <w:rFonts w:ascii="Times New Roman" w:hAnsi="Times New Roman" w:cs="Times New Roman"/>
          <w:szCs w:val="24"/>
        </w:rPr>
        <w:t xml:space="preserve">dynamic quality of societal relations </w:t>
      </w:r>
      <w:r w:rsidR="00F315FE" w:rsidRPr="00600AFD">
        <w:rPr>
          <w:rFonts w:ascii="Times New Roman" w:hAnsi="Times New Roman" w:cs="Times New Roman"/>
          <w:szCs w:val="24"/>
        </w:rPr>
        <w:t xml:space="preserve">in </w:t>
      </w:r>
      <w:r w:rsidR="000C28FE" w:rsidRPr="00600AFD">
        <w:rPr>
          <w:rFonts w:ascii="Times New Roman" w:hAnsi="Times New Roman" w:cs="Times New Roman"/>
          <w:szCs w:val="24"/>
        </w:rPr>
        <w:t xml:space="preserve">the </w:t>
      </w:r>
      <w:r w:rsidR="00F315FE" w:rsidRPr="00600AFD">
        <w:rPr>
          <w:rFonts w:ascii="Times New Roman" w:hAnsi="Times New Roman" w:cs="Times New Roman"/>
          <w:szCs w:val="24"/>
        </w:rPr>
        <w:t>modern world</w:t>
      </w:r>
      <w:r w:rsidR="000C28FE" w:rsidRPr="00600AFD">
        <w:rPr>
          <w:rFonts w:ascii="Times New Roman" w:hAnsi="Times New Roman" w:cs="Times New Roman"/>
          <w:szCs w:val="24"/>
        </w:rPr>
        <w:t xml:space="preserve"> and the </w:t>
      </w:r>
      <w:r w:rsidR="00EB527A" w:rsidRPr="00600AFD">
        <w:rPr>
          <w:rFonts w:ascii="Times New Roman" w:hAnsi="Times New Roman" w:cs="Times New Roman"/>
          <w:szCs w:val="24"/>
        </w:rPr>
        <w:t>information society</w:t>
      </w:r>
      <w:r w:rsidR="006C5AAF" w:rsidRPr="00600AFD">
        <w:rPr>
          <w:rFonts w:ascii="Times New Roman" w:hAnsi="Times New Roman" w:cs="Times New Roman"/>
          <w:szCs w:val="24"/>
        </w:rPr>
        <w:t xml:space="preserve">’s </w:t>
      </w:r>
      <w:r w:rsidR="000C28FE" w:rsidRPr="00600AFD">
        <w:rPr>
          <w:rFonts w:ascii="Times New Roman" w:hAnsi="Times New Roman" w:cs="Times New Roman"/>
          <w:szCs w:val="24"/>
        </w:rPr>
        <w:t>needs</w:t>
      </w:r>
      <w:r w:rsidR="006C5AAF" w:rsidRPr="00600AFD">
        <w:rPr>
          <w:rFonts w:ascii="Times New Roman" w:hAnsi="Times New Roman" w:cs="Times New Roman"/>
          <w:szCs w:val="24"/>
        </w:rPr>
        <w:t xml:space="preserve">. This </w:t>
      </w:r>
      <w:r w:rsidR="00D37856" w:rsidRPr="00600AFD">
        <w:rPr>
          <w:rFonts w:ascii="Times New Roman" w:hAnsi="Times New Roman" w:cs="Times New Roman"/>
          <w:szCs w:val="24"/>
        </w:rPr>
        <w:t xml:space="preserve">also </w:t>
      </w:r>
      <w:r w:rsidR="00D61F3B" w:rsidRPr="00600AFD">
        <w:rPr>
          <w:rFonts w:ascii="Times New Roman" w:hAnsi="Times New Roman" w:cs="Times New Roman"/>
          <w:szCs w:val="24"/>
        </w:rPr>
        <w:t>requires</w:t>
      </w:r>
      <w:r w:rsidR="00934042" w:rsidRPr="00600AFD">
        <w:rPr>
          <w:rFonts w:ascii="Times New Roman" w:hAnsi="Times New Roman" w:cs="Times New Roman"/>
          <w:szCs w:val="24"/>
        </w:rPr>
        <w:t xml:space="preserve"> </w:t>
      </w:r>
      <w:r w:rsidR="006F76F6" w:rsidRPr="00600AFD">
        <w:rPr>
          <w:rFonts w:ascii="Times New Roman" w:hAnsi="Times New Roman" w:cs="Times New Roman"/>
          <w:szCs w:val="24"/>
        </w:rPr>
        <w:t xml:space="preserve">that </w:t>
      </w:r>
      <w:r w:rsidR="00EF2007" w:rsidRPr="00600AFD">
        <w:rPr>
          <w:rFonts w:ascii="Times New Roman" w:hAnsi="Times New Roman" w:cs="Times New Roman"/>
          <w:szCs w:val="24"/>
        </w:rPr>
        <w:t>judicial office holders and</w:t>
      </w:r>
      <w:r w:rsidR="0008226E" w:rsidRPr="00600AFD">
        <w:rPr>
          <w:rFonts w:ascii="Times New Roman" w:hAnsi="Times New Roman" w:cs="Times New Roman"/>
          <w:szCs w:val="24"/>
        </w:rPr>
        <w:t xml:space="preserve"> employees in the judiciary </w:t>
      </w:r>
      <w:r w:rsidR="00D37856" w:rsidRPr="00600AFD">
        <w:rPr>
          <w:rFonts w:ascii="Times New Roman" w:hAnsi="Times New Roman" w:cs="Times New Roman"/>
          <w:szCs w:val="24"/>
        </w:rPr>
        <w:t>possess</w:t>
      </w:r>
      <w:r w:rsidR="0042340E" w:rsidRPr="00600AFD">
        <w:rPr>
          <w:rFonts w:ascii="Times New Roman" w:hAnsi="Times New Roman" w:cs="Times New Roman"/>
          <w:szCs w:val="24"/>
        </w:rPr>
        <w:t xml:space="preserve"> relevant competences</w:t>
      </w:r>
      <w:r w:rsidR="00BB2D63" w:rsidRPr="00600AFD">
        <w:rPr>
          <w:rFonts w:ascii="Times New Roman" w:hAnsi="Times New Roman" w:cs="Times New Roman"/>
          <w:szCs w:val="24"/>
        </w:rPr>
        <w:t>, knowledge</w:t>
      </w:r>
      <w:r w:rsidR="00D37856" w:rsidRPr="00600AFD">
        <w:rPr>
          <w:rFonts w:ascii="Times New Roman" w:hAnsi="Times New Roman" w:cs="Times New Roman"/>
          <w:szCs w:val="24"/>
        </w:rPr>
        <w:t>,</w:t>
      </w:r>
      <w:r w:rsidR="00BB2D63" w:rsidRPr="00600AFD">
        <w:rPr>
          <w:rFonts w:ascii="Times New Roman" w:hAnsi="Times New Roman" w:cs="Times New Roman"/>
          <w:szCs w:val="24"/>
        </w:rPr>
        <w:t xml:space="preserve"> and skills</w:t>
      </w:r>
      <w:r w:rsidR="00F76C0A" w:rsidRPr="00600AFD">
        <w:rPr>
          <w:rFonts w:ascii="Times New Roman" w:hAnsi="Times New Roman" w:cs="Times New Roman"/>
          <w:szCs w:val="24"/>
        </w:rPr>
        <w:t xml:space="preserve"> so </w:t>
      </w:r>
      <w:r w:rsidR="007C7C93" w:rsidRPr="00600AFD">
        <w:rPr>
          <w:rFonts w:ascii="Times New Roman" w:hAnsi="Times New Roman" w:cs="Times New Roman"/>
          <w:szCs w:val="24"/>
        </w:rPr>
        <w:t xml:space="preserve">as to ensure </w:t>
      </w:r>
      <w:r w:rsidR="008533A6" w:rsidRPr="00600AFD">
        <w:rPr>
          <w:rFonts w:ascii="Times New Roman" w:hAnsi="Times New Roman" w:cs="Times New Roman"/>
          <w:szCs w:val="24"/>
        </w:rPr>
        <w:t>full</w:t>
      </w:r>
      <w:r w:rsidR="007C7C93" w:rsidRPr="00600AFD">
        <w:rPr>
          <w:rFonts w:ascii="Times New Roman" w:hAnsi="Times New Roman" w:cs="Times New Roman"/>
          <w:szCs w:val="24"/>
        </w:rPr>
        <w:t xml:space="preserve"> application of the principles of </w:t>
      </w:r>
      <w:r w:rsidR="000E7704" w:rsidRPr="00600AFD">
        <w:rPr>
          <w:rFonts w:ascii="Times New Roman" w:hAnsi="Times New Roman" w:cs="Times New Roman"/>
          <w:szCs w:val="24"/>
        </w:rPr>
        <w:t>legality and predictability</w:t>
      </w:r>
      <w:r w:rsidR="0040579D" w:rsidRPr="00600AFD">
        <w:rPr>
          <w:rFonts w:ascii="Times New Roman" w:hAnsi="Times New Roman" w:cs="Times New Roman"/>
          <w:szCs w:val="24"/>
        </w:rPr>
        <w:t>,</w:t>
      </w:r>
      <w:r w:rsidR="000E7704" w:rsidRPr="00600AFD">
        <w:rPr>
          <w:rFonts w:ascii="Times New Roman" w:hAnsi="Times New Roman" w:cs="Times New Roman"/>
          <w:szCs w:val="24"/>
        </w:rPr>
        <w:t xml:space="preserve"> </w:t>
      </w:r>
      <w:r w:rsidR="007E21AE" w:rsidRPr="00600AFD">
        <w:rPr>
          <w:rFonts w:ascii="Times New Roman" w:hAnsi="Times New Roman" w:cs="Times New Roman"/>
          <w:szCs w:val="24"/>
        </w:rPr>
        <w:t xml:space="preserve">concurrently </w:t>
      </w:r>
      <w:r w:rsidR="00462C07" w:rsidRPr="00600AFD">
        <w:rPr>
          <w:rFonts w:ascii="Times New Roman" w:hAnsi="Times New Roman" w:cs="Times New Roman"/>
          <w:szCs w:val="24"/>
        </w:rPr>
        <w:t>with the application of modern work methods,</w:t>
      </w:r>
      <w:r w:rsidR="00D37856" w:rsidRPr="00600AFD">
        <w:rPr>
          <w:rFonts w:ascii="Times New Roman" w:hAnsi="Times New Roman" w:cs="Times New Roman"/>
          <w:szCs w:val="24"/>
        </w:rPr>
        <w:t xml:space="preserve"> and</w:t>
      </w:r>
      <w:r w:rsidR="00462C07" w:rsidRPr="00600AFD">
        <w:rPr>
          <w:rFonts w:ascii="Times New Roman" w:hAnsi="Times New Roman" w:cs="Times New Roman"/>
          <w:szCs w:val="24"/>
        </w:rPr>
        <w:t xml:space="preserve"> in</w:t>
      </w:r>
      <w:r w:rsidR="000C73E7" w:rsidRPr="00600AFD">
        <w:rPr>
          <w:rFonts w:ascii="Times New Roman" w:hAnsi="Times New Roman" w:cs="Times New Roman"/>
          <w:szCs w:val="24"/>
        </w:rPr>
        <w:t>formation and communication technology</w:t>
      </w:r>
      <w:r w:rsidR="0040579D" w:rsidRPr="00600AFD">
        <w:rPr>
          <w:rFonts w:ascii="Times New Roman" w:hAnsi="Times New Roman" w:cs="Times New Roman"/>
          <w:szCs w:val="24"/>
        </w:rPr>
        <w:t xml:space="preserve">, </w:t>
      </w:r>
      <w:r w:rsidR="00790061" w:rsidRPr="00600AFD">
        <w:rPr>
          <w:rFonts w:ascii="Times New Roman" w:hAnsi="Times New Roman" w:cs="Times New Roman"/>
          <w:szCs w:val="24"/>
        </w:rPr>
        <w:t>which</w:t>
      </w:r>
      <w:r w:rsidR="0040579D" w:rsidRPr="00600AFD">
        <w:rPr>
          <w:rFonts w:ascii="Times New Roman" w:hAnsi="Times New Roman" w:cs="Times New Roman"/>
          <w:szCs w:val="24"/>
        </w:rPr>
        <w:t xml:space="preserve"> are required for </w:t>
      </w:r>
      <w:r w:rsidR="00790061" w:rsidRPr="00600AFD">
        <w:rPr>
          <w:rFonts w:ascii="Times New Roman" w:hAnsi="Times New Roman" w:cs="Times New Roman"/>
          <w:szCs w:val="24"/>
        </w:rPr>
        <w:t>the</w:t>
      </w:r>
      <w:r w:rsidR="00FF3D9F" w:rsidRPr="00600AFD">
        <w:rPr>
          <w:rFonts w:ascii="Times New Roman" w:hAnsi="Times New Roman" w:cs="Times New Roman"/>
          <w:szCs w:val="24"/>
        </w:rPr>
        <w:t xml:space="preserve"> effective, efficient and </w:t>
      </w:r>
      <w:r w:rsidR="007F4E0B" w:rsidRPr="00600AFD">
        <w:rPr>
          <w:rFonts w:ascii="Times New Roman" w:hAnsi="Times New Roman" w:cs="Times New Roman"/>
          <w:szCs w:val="24"/>
        </w:rPr>
        <w:t xml:space="preserve">economical </w:t>
      </w:r>
      <w:r w:rsidR="009A25B8" w:rsidRPr="00600AFD">
        <w:rPr>
          <w:rFonts w:ascii="Times New Roman" w:hAnsi="Times New Roman" w:cs="Times New Roman"/>
          <w:szCs w:val="24"/>
        </w:rPr>
        <w:t xml:space="preserve">work of the judiciary. </w:t>
      </w:r>
    </w:p>
    <w:p w14:paraId="04EDFF26" w14:textId="54AE0EB4" w:rsidR="00B75411" w:rsidRPr="00600AFD" w:rsidRDefault="007E1CB8" w:rsidP="007C4578">
      <w:pPr>
        <w:spacing w:line="276" w:lineRule="auto"/>
        <w:rPr>
          <w:rFonts w:ascii="Times New Roman" w:hAnsi="Times New Roman" w:cs="Times New Roman"/>
          <w:szCs w:val="24"/>
        </w:rPr>
      </w:pPr>
      <w:r w:rsidRPr="00600AFD">
        <w:rPr>
          <w:rFonts w:ascii="Times New Roman" w:hAnsi="Times New Roman" w:cs="Times New Roman"/>
          <w:szCs w:val="24"/>
        </w:rPr>
        <w:t xml:space="preserve">All these aspects should </w:t>
      </w:r>
      <w:r w:rsidR="006D7F37" w:rsidRPr="00600AFD">
        <w:rPr>
          <w:rFonts w:ascii="Times New Roman" w:hAnsi="Times New Roman" w:cs="Times New Roman"/>
          <w:szCs w:val="24"/>
        </w:rPr>
        <w:t xml:space="preserve">be conducive to </w:t>
      </w:r>
      <w:r w:rsidR="005172B4" w:rsidRPr="00600AFD">
        <w:rPr>
          <w:rFonts w:ascii="Times New Roman" w:hAnsi="Times New Roman" w:cs="Times New Roman"/>
          <w:szCs w:val="24"/>
        </w:rPr>
        <w:t>bolster</w:t>
      </w:r>
      <w:r w:rsidR="006D7F37" w:rsidRPr="00600AFD">
        <w:rPr>
          <w:rFonts w:ascii="Times New Roman" w:hAnsi="Times New Roman" w:cs="Times New Roman"/>
          <w:szCs w:val="24"/>
        </w:rPr>
        <w:t>ing</w:t>
      </w:r>
      <w:r w:rsidR="005172B4" w:rsidRPr="00600AFD">
        <w:rPr>
          <w:rFonts w:ascii="Times New Roman" w:hAnsi="Times New Roman" w:cs="Times New Roman"/>
          <w:szCs w:val="24"/>
        </w:rPr>
        <w:t xml:space="preserve"> </w:t>
      </w:r>
      <w:r w:rsidR="00837127" w:rsidRPr="00600AFD">
        <w:rPr>
          <w:rFonts w:ascii="Times New Roman" w:hAnsi="Times New Roman" w:cs="Times New Roman"/>
          <w:szCs w:val="24"/>
        </w:rPr>
        <w:t xml:space="preserve">the </w:t>
      </w:r>
      <w:r w:rsidR="00927CB2" w:rsidRPr="00600AFD">
        <w:rPr>
          <w:rFonts w:ascii="Times New Roman" w:hAnsi="Times New Roman" w:cs="Times New Roman"/>
          <w:szCs w:val="24"/>
        </w:rPr>
        <w:t xml:space="preserve">trust of citizens in judicial institutions, </w:t>
      </w:r>
      <w:r w:rsidR="004952C5" w:rsidRPr="00600AFD">
        <w:rPr>
          <w:rFonts w:ascii="Times New Roman" w:hAnsi="Times New Roman" w:cs="Times New Roman"/>
          <w:szCs w:val="24"/>
        </w:rPr>
        <w:t xml:space="preserve">help attract and retain foreign investments in Serbia </w:t>
      </w:r>
      <w:r w:rsidR="002552B4" w:rsidRPr="00600AFD">
        <w:rPr>
          <w:rFonts w:ascii="Times New Roman" w:hAnsi="Times New Roman" w:cs="Times New Roman"/>
          <w:szCs w:val="24"/>
        </w:rPr>
        <w:t xml:space="preserve">by way of </w:t>
      </w:r>
      <w:r w:rsidR="009E277F" w:rsidRPr="00600AFD">
        <w:rPr>
          <w:rFonts w:ascii="Times New Roman" w:hAnsi="Times New Roman" w:cs="Times New Roman"/>
          <w:szCs w:val="24"/>
        </w:rPr>
        <w:t>easy</w:t>
      </w:r>
      <w:r w:rsidR="000F3999">
        <w:rPr>
          <w:rFonts w:ascii="Times New Roman" w:hAnsi="Times New Roman" w:cs="Times New Roman"/>
          <w:szCs w:val="24"/>
        </w:rPr>
        <w:t>–</w:t>
      </w:r>
      <w:r w:rsidR="009E277F" w:rsidRPr="00600AFD">
        <w:rPr>
          <w:rFonts w:ascii="Times New Roman" w:hAnsi="Times New Roman" w:cs="Times New Roman"/>
          <w:szCs w:val="24"/>
        </w:rPr>
        <w:t>to</w:t>
      </w:r>
      <w:r w:rsidR="000F3999">
        <w:rPr>
          <w:rFonts w:ascii="Times New Roman" w:hAnsi="Times New Roman" w:cs="Times New Roman"/>
          <w:szCs w:val="24"/>
        </w:rPr>
        <w:t>–</w:t>
      </w:r>
      <w:r w:rsidR="009E277F" w:rsidRPr="00600AFD">
        <w:rPr>
          <w:rFonts w:ascii="Times New Roman" w:hAnsi="Times New Roman" w:cs="Times New Roman"/>
          <w:szCs w:val="24"/>
        </w:rPr>
        <w:t xml:space="preserve">understand </w:t>
      </w:r>
      <w:r w:rsidR="00BE5155" w:rsidRPr="00600AFD">
        <w:rPr>
          <w:rFonts w:ascii="Times New Roman" w:hAnsi="Times New Roman" w:cs="Times New Roman"/>
          <w:szCs w:val="24"/>
        </w:rPr>
        <w:t xml:space="preserve">regulations </w:t>
      </w:r>
      <w:r w:rsidR="00790061" w:rsidRPr="00600AFD">
        <w:rPr>
          <w:rFonts w:ascii="Times New Roman" w:hAnsi="Times New Roman" w:cs="Times New Roman"/>
          <w:szCs w:val="24"/>
        </w:rPr>
        <w:t>that</w:t>
      </w:r>
      <w:r w:rsidR="00BE5155" w:rsidRPr="00600AFD">
        <w:rPr>
          <w:rFonts w:ascii="Times New Roman" w:hAnsi="Times New Roman" w:cs="Times New Roman"/>
          <w:szCs w:val="24"/>
        </w:rPr>
        <w:t xml:space="preserve"> are effectively implemented</w:t>
      </w:r>
      <w:r w:rsidR="00FB7A54" w:rsidRPr="00600AFD">
        <w:rPr>
          <w:rFonts w:ascii="Times New Roman" w:hAnsi="Times New Roman" w:cs="Times New Roman"/>
          <w:szCs w:val="24"/>
        </w:rPr>
        <w:t xml:space="preserve">, thereby guaranteeing </w:t>
      </w:r>
      <w:r w:rsidR="000006FA" w:rsidRPr="00600AFD">
        <w:rPr>
          <w:rFonts w:ascii="Times New Roman" w:hAnsi="Times New Roman" w:cs="Times New Roman"/>
          <w:szCs w:val="24"/>
        </w:rPr>
        <w:t xml:space="preserve">effective protection of their lawful </w:t>
      </w:r>
      <w:r w:rsidR="00F42BA1" w:rsidRPr="00600AFD">
        <w:rPr>
          <w:rFonts w:ascii="Times New Roman" w:hAnsi="Times New Roman" w:cs="Times New Roman"/>
          <w:szCs w:val="24"/>
        </w:rPr>
        <w:t xml:space="preserve">interests </w:t>
      </w:r>
      <w:r w:rsidR="00850926" w:rsidRPr="00600AFD">
        <w:rPr>
          <w:rFonts w:ascii="Times New Roman" w:hAnsi="Times New Roman" w:cs="Times New Roman"/>
          <w:szCs w:val="24"/>
        </w:rPr>
        <w:t>and</w:t>
      </w:r>
      <w:r w:rsidR="00517FEC" w:rsidRPr="00600AFD">
        <w:rPr>
          <w:rFonts w:ascii="Times New Roman" w:hAnsi="Times New Roman" w:cs="Times New Roman"/>
          <w:szCs w:val="24"/>
        </w:rPr>
        <w:t xml:space="preserve"> ensuring</w:t>
      </w:r>
      <w:r w:rsidR="002A3555" w:rsidRPr="00600AFD">
        <w:rPr>
          <w:rFonts w:ascii="Times New Roman" w:hAnsi="Times New Roman" w:cs="Times New Roman"/>
          <w:szCs w:val="24"/>
        </w:rPr>
        <w:t xml:space="preserve"> legal certainty. </w:t>
      </w:r>
      <w:r w:rsidR="009547FF" w:rsidRPr="00600AFD">
        <w:rPr>
          <w:rFonts w:ascii="Times New Roman" w:hAnsi="Times New Roman" w:cs="Times New Roman"/>
          <w:szCs w:val="24"/>
        </w:rPr>
        <w:t xml:space="preserve">In addition, further </w:t>
      </w:r>
      <w:r w:rsidR="00DE106D" w:rsidRPr="00600AFD">
        <w:rPr>
          <w:rFonts w:ascii="Times New Roman" w:hAnsi="Times New Roman" w:cs="Times New Roman"/>
          <w:szCs w:val="24"/>
        </w:rPr>
        <w:t xml:space="preserve">enhancements of Serbia’s judiciary </w:t>
      </w:r>
      <w:r w:rsidR="00790061" w:rsidRPr="00600AFD">
        <w:rPr>
          <w:rFonts w:ascii="Times New Roman" w:hAnsi="Times New Roman" w:cs="Times New Roman"/>
          <w:szCs w:val="24"/>
        </w:rPr>
        <w:t>must</w:t>
      </w:r>
      <w:r w:rsidR="000A35D4" w:rsidRPr="00600AFD">
        <w:rPr>
          <w:rFonts w:ascii="Times New Roman" w:hAnsi="Times New Roman" w:cs="Times New Roman"/>
          <w:szCs w:val="24"/>
        </w:rPr>
        <w:t xml:space="preserve"> </w:t>
      </w:r>
      <w:r w:rsidR="00DE106D" w:rsidRPr="00600AFD">
        <w:rPr>
          <w:rFonts w:ascii="Times New Roman" w:hAnsi="Times New Roman" w:cs="Times New Roman"/>
          <w:szCs w:val="24"/>
        </w:rPr>
        <w:t xml:space="preserve">focus </w:t>
      </w:r>
      <w:r w:rsidR="00316864" w:rsidRPr="00600AFD">
        <w:rPr>
          <w:rFonts w:ascii="Times New Roman" w:hAnsi="Times New Roman" w:cs="Times New Roman"/>
          <w:szCs w:val="24"/>
        </w:rPr>
        <w:t xml:space="preserve">on adoption of the highest European standards, </w:t>
      </w:r>
      <w:r w:rsidR="003568A1" w:rsidRPr="00600AFD">
        <w:rPr>
          <w:rFonts w:ascii="Times New Roman" w:hAnsi="Times New Roman" w:cs="Times New Roman"/>
          <w:szCs w:val="24"/>
        </w:rPr>
        <w:t>while</w:t>
      </w:r>
      <w:r w:rsidR="00790061" w:rsidRPr="00600AFD">
        <w:rPr>
          <w:rFonts w:ascii="Times New Roman" w:hAnsi="Times New Roman" w:cs="Times New Roman"/>
          <w:szCs w:val="24"/>
        </w:rPr>
        <w:t xml:space="preserve"> </w:t>
      </w:r>
      <w:r w:rsidR="00ED190C" w:rsidRPr="00600AFD">
        <w:rPr>
          <w:rFonts w:ascii="Times New Roman" w:hAnsi="Times New Roman" w:cs="Times New Roman"/>
          <w:szCs w:val="24"/>
        </w:rPr>
        <w:t>simultaneously</w:t>
      </w:r>
      <w:r w:rsidR="00790061" w:rsidRPr="00600AFD">
        <w:rPr>
          <w:rFonts w:ascii="Times New Roman" w:hAnsi="Times New Roman" w:cs="Times New Roman"/>
          <w:szCs w:val="24"/>
        </w:rPr>
        <w:t xml:space="preserve"> </w:t>
      </w:r>
      <w:r w:rsidR="00EB4C6D" w:rsidRPr="00600AFD">
        <w:rPr>
          <w:rFonts w:ascii="Times New Roman" w:hAnsi="Times New Roman" w:cs="Times New Roman"/>
          <w:szCs w:val="24"/>
        </w:rPr>
        <w:t xml:space="preserve">acknowledging </w:t>
      </w:r>
      <w:r w:rsidR="0033270C" w:rsidRPr="00600AFD">
        <w:rPr>
          <w:rFonts w:ascii="Times New Roman" w:hAnsi="Times New Roman" w:cs="Times New Roman"/>
          <w:szCs w:val="24"/>
        </w:rPr>
        <w:t xml:space="preserve">the </w:t>
      </w:r>
      <w:r w:rsidR="00790061" w:rsidRPr="00600AFD">
        <w:rPr>
          <w:rFonts w:ascii="Times New Roman" w:hAnsi="Times New Roman" w:cs="Times New Roman"/>
          <w:szCs w:val="24"/>
        </w:rPr>
        <w:t xml:space="preserve">legal traditions of the </w:t>
      </w:r>
      <w:r w:rsidR="0033270C" w:rsidRPr="00600AFD">
        <w:rPr>
          <w:rFonts w:ascii="Times New Roman" w:hAnsi="Times New Roman" w:cs="Times New Roman"/>
          <w:szCs w:val="24"/>
        </w:rPr>
        <w:t>Republic of Serbia</w:t>
      </w:r>
      <w:r w:rsidR="00A973F4" w:rsidRPr="00600AFD">
        <w:rPr>
          <w:rFonts w:ascii="Times New Roman" w:hAnsi="Times New Roman" w:cs="Times New Roman"/>
          <w:szCs w:val="24"/>
        </w:rPr>
        <w:t xml:space="preserve">. </w:t>
      </w:r>
    </w:p>
    <w:p w14:paraId="3961FF84" w14:textId="215D94B3" w:rsidR="00316CE6" w:rsidRPr="00600AFD" w:rsidRDefault="006D702D" w:rsidP="00060AA9">
      <w:pPr>
        <w:spacing w:line="276" w:lineRule="auto"/>
        <w:rPr>
          <w:rFonts w:ascii="Times New Roman" w:hAnsi="Times New Roman" w:cs="Times New Roman"/>
          <w:szCs w:val="24"/>
        </w:rPr>
      </w:pPr>
      <w:r w:rsidRPr="00600AFD">
        <w:rPr>
          <w:rFonts w:ascii="Times New Roman" w:hAnsi="Times New Roman" w:cs="Times New Roman"/>
          <w:szCs w:val="24"/>
        </w:rPr>
        <w:t xml:space="preserve">In the previous decade, </w:t>
      </w:r>
      <w:r w:rsidR="00E35B90" w:rsidRPr="00600AFD">
        <w:rPr>
          <w:rFonts w:ascii="Times New Roman" w:hAnsi="Times New Roman" w:cs="Times New Roman"/>
          <w:szCs w:val="24"/>
        </w:rPr>
        <w:t xml:space="preserve">Serbia </w:t>
      </w:r>
      <w:r w:rsidR="00790061" w:rsidRPr="00600AFD">
        <w:rPr>
          <w:rFonts w:ascii="Times New Roman" w:hAnsi="Times New Roman" w:cs="Times New Roman"/>
          <w:szCs w:val="24"/>
        </w:rPr>
        <w:t>underwent</w:t>
      </w:r>
      <w:r w:rsidR="0014305C" w:rsidRPr="00600AFD">
        <w:rPr>
          <w:rFonts w:ascii="Times New Roman" w:hAnsi="Times New Roman" w:cs="Times New Roman"/>
          <w:szCs w:val="24"/>
        </w:rPr>
        <w:t xml:space="preserve"> many </w:t>
      </w:r>
      <w:r w:rsidR="00D33A17" w:rsidRPr="00600AFD">
        <w:rPr>
          <w:rFonts w:ascii="Times New Roman" w:hAnsi="Times New Roman" w:cs="Times New Roman"/>
          <w:szCs w:val="24"/>
        </w:rPr>
        <w:t>reform process</w:t>
      </w:r>
      <w:r w:rsidR="0014305C" w:rsidRPr="00600AFD">
        <w:rPr>
          <w:rFonts w:ascii="Times New Roman" w:hAnsi="Times New Roman" w:cs="Times New Roman"/>
          <w:szCs w:val="24"/>
        </w:rPr>
        <w:t>es</w:t>
      </w:r>
      <w:r w:rsidR="00B20C0B" w:rsidRPr="00600AFD">
        <w:rPr>
          <w:rFonts w:ascii="Times New Roman" w:hAnsi="Times New Roman" w:cs="Times New Roman"/>
          <w:szCs w:val="24"/>
        </w:rPr>
        <w:t xml:space="preserve"> in the field of judiciary</w:t>
      </w:r>
      <w:r w:rsidR="006A2FA0" w:rsidRPr="00600AFD">
        <w:rPr>
          <w:rFonts w:ascii="Times New Roman" w:hAnsi="Times New Roman" w:cs="Times New Roman"/>
          <w:szCs w:val="24"/>
        </w:rPr>
        <w:t xml:space="preserve"> </w:t>
      </w:r>
      <w:r w:rsidR="00790061" w:rsidRPr="00600AFD">
        <w:rPr>
          <w:rFonts w:ascii="Times New Roman" w:hAnsi="Times New Roman" w:cs="Times New Roman"/>
          <w:szCs w:val="24"/>
        </w:rPr>
        <w:t xml:space="preserve">that unfolded </w:t>
      </w:r>
      <w:r w:rsidR="00360EAD" w:rsidRPr="00600AFD">
        <w:rPr>
          <w:rFonts w:ascii="Times New Roman" w:hAnsi="Times New Roman" w:cs="Times New Roman"/>
          <w:szCs w:val="24"/>
        </w:rPr>
        <w:t xml:space="preserve">, above all, through implementation of multiannual </w:t>
      </w:r>
      <w:r w:rsidR="005C4F48" w:rsidRPr="00600AFD">
        <w:rPr>
          <w:rFonts w:ascii="Times New Roman" w:hAnsi="Times New Roman" w:cs="Times New Roman"/>
          <w:szCs w:val="24"/>
        </w:rPr>
        <w:t xml:space="preserve">strategic documents – the National Judicial Reform Strategy for </w:t>
      </w:r>
      <w:r w:rsidR="004613AF" w:rsidRPr="00600AFD">
        <w:rPr>
          <w:rFonts w:ascii="Times New Roman" w:hAnsi="Times New Roman" w:cs="Times New Roman"/>
          <w:szCs w:val="24"/>
        </w:rPr>
        <w:t>the 2006</w:t>
      </w:r>
      <w:r w:rsidR="000F3999">
        <w:rPr>
          <w:rFonts w:ascii="Times New Roman" w:hAnsi="Times New Roman" w:cs="Times New Roman"/>
          <w:szCs w:val="24"/>
        </w:rPr>
        <w:t>–</w:t>
      </w:r>
      <w:r w:rsidR="004613AF" w:rsidRPr="00600AFD">
        <w:rPr>
          <w:rFonts w:ascii="Times New Roman" w:hAnsi="Times New Roman" w:cs="Times New Roman"/>
          <w:szCs w:val="24"/>
        </w:rPr>
        <w:t>2011 period</w:t>
      </w:r>
      <w:r w:rsidR="000855C9" w:rsidRPr="00600AFD">
        <w:rPr>
          <w:rStyle w:val="FootnoteReference"/>
          <w:rFonts w:ascii="Times New Roman" w:hAnsi="Times New Roman" w:cs="Times New Roman"/>
          <w:szCs w:val="24"/>
        </w:rPr>
        <w:footnoteReference w:id="2"/>
      </w:r>
      <w:r w:rsidR="00790061" w:rsidRPr="00600AFD">
        <w:rPr>
          <w:rFonts w:ascii="Times New Roman" w:hAnsi="Times New Roman" w:cs="Times New Roman"/>
          <w:szCs w:val="24"/>
        </w:rPr>
        <w:t>;</w:t>
      </w:r>
      <w:r w:rsidR="004613AF" w:rsidRPr="00600AFD">
        <w:rPr>
          <w:rFonts w:ascii="Times New Roman" w:hAnsi="Times New Roman" w:cs="Times New Roman"/>
          <w:szCs w:val="24"/>
        </w:rPr>
        <w:t xml:space="preserve"> the National Judicial Reform Strategy for the 2013</w:t>
      </w:r>
      <w:r w:rsidR="000F3999">
        <w:rPr>
          <w:rFonts w:ascii="Times New Roman" w:hAnsi="Times New Roman" w:cs="Times New Roman"/>
          <w:szCs w:val="24"/>
        </w:rPr>
        <w:t>–</w:t>
      </w:r>
      <w:r w:rsidR="004613AF" w:rsidRPr="00600AFD">
        <w:rPr>
          <w:rFonts w:ascii="Times New Roman" w:hAnsi="Times New Roman" w:cs="Times New Roman"/>
          <w:szCs w:val="24"/>
        </w:rPr>
        <w:t>20</w:t>
      </w:r>
      <w:r w:rsidR="00773624" w:rsidRPr="00600AFD">
        <w:rPr>
          <w:rFonts w:ascii="Times New Roman" w:hAnsi="Times New Roman" w:cs="Times New Roman"/>
          <w:szCs w:val="24"/>
        </w:rPr>
        <w:t>18 period</w:t>
      </w:r>
      <w:r w:rsidR="00E20120" w:rsidRPr="00600AFD">
        <w:rPr>
          <w:rStyle w:val="FootnoteReference"/>
          <w:rFonts w:ascii="Times New Roman" w:hAnsi="Times New Roman" w:cs="Times New Roman"/>
          <w:szCs w:val="24"/>
        </w:rPr>
        <w:footnoteReference w:id="3"/>
      </w:r>
      <w:r w:rsidR="00773624" w:rsidRPr="00600AFD">
        <w:rPr>
          <w:rFonts w:ascii="Times New Roman" w:hAnsi="Times New Roman" w:cs="Times New Roman"/>
          <w:szCs w:val="24"/>
        </w:rPr>
        <w:t xml:space="preserve"> </w:t>
      </w:r>
      <w:r w:rsidR="00445924" w:rsidRPr="00600AFD">
        <w:rPr>
          <w:rFonts w:ascii="Times New Roman" w:hAnsi="Times New Roman" w:cs="Times New Roman"/>
          <w:szCs w:val="24"/>
        </w:rPr>
        <w:t xml:space="preserve">(hereinafter </w:t>
      </w:r>
      <w:r w:rsidR="00144201" w:rsidRPr="00600AFD">
        <w:rPr>
          <w:rFonts w:ascii="Times New Roman" w:hAnsi="Times New Roman" w:cs="Times New Roman"/>
          <w:szCs w:val="24"/>
        </w:rPr>
        <w:t>referred to as ‘</w:t>
      </w:r>
      <w:r w:rsidR="00767653" w:rsidRPr="00600AFD">
        <w:rPr>
          <w:rFonts w:ascii="Times New Roman" w:hAnsi="Times New Roman" w:cs="Times New Roman"/>
          <w:szCs w:val="24"/>
        </w:rPr>
        <w:t>2013</w:t>
      </w:r>
      <w:r w:rsidR="000F3999">
        <w:rPr>
          <w:rFonts w:ascii="Times New Roman" w:hAnsi="Times New Roman" w:cs="Times New Roman"/>
          <w:szCs w:val="24"/>
        </w:rPr>
        <w:t>–</w:t>
      </w:r>
      <w:r w:rsidR="00767653" w:rsidRPr="00600AFD">
        <w:rPr>
          <w:rFonts w:ascii="Times New Roman" w:hAnsi="Times New Roman" w:cs="Times New Roman"/>
          <w:szCs w:val="24"/>
        </w:rPr>
        <w:t>2018 NJRS’) and</w:t>
      </w:r>
      <w:r w:rsidR="004A4DA4" w:rsidRPr="00600AFD">
        <w:rPr>
          <w:rFonts w:ascii="Times New Roman" w:hAnsi="Times New Roman" w:cs="Times New Roman"/>
          <w:szCs w:val="24"/>
        </w:rPr>
        <w:t xml:space="preserve"> </w:t>
      </w:r>
      <w:r w:rsidR="00DC6C62" w:rsidRPr="00600AFD">
        <w:rPr>
          <w:rFonts w:ascii="Times New Roman" w:hAnsi="Times New Roman" w:cs="Times New Roman"/>
          <w:szCs w:val="24"/>
        </w:rPr>
        <w:t>its accompanying</w:t>
      </w:r>
      <w:r w:rsidR="0067622C" w:rsidRPr="00600AFD">
        <w:rPr>
          <w:rFonts w:ascii="Times New Roman" w:hAnsi="Times New Roman" w:cs="Times New Roman"/>
          <w:szCs w:val="24"/>
        </w:rPr>
        <w:t xml:space="preserve"> Action Plan</w:t>
      </w:r>
      <w:r w:rsidR="00790061" w:rsidRPr="00600AFD">
        <w:rPr>
          <w:rFonts w:ascii="Times New Roman" w:hAnsi="Times New Roman" w:cs="Times New Roman"/>
          <w:szCs w:val="24"/>
        </w:rPr>
        <w:t>;</w:t>
      </w:r>
      <w:r w:rsidR="0067622C" w:rsidRPr="00600AFD">
        <w:rPr>
          <w:rFonts w:ascii="Times New Roman" w:hAnsi="Times New Roman" w:cs="Times New Roman"/>
          <w:szCs w:val="24"/>
        </w:rPr>
        <w:t xml:space="preserve"> and</w:t>
      </w:r>
      <w:r w:rsidR="00767653" w:rsidRPr="00600AFD">
        <w:rPr>
          <w:rFonts w:ascii="Times New Roman" w:hAnsi="Times New Roman" w:cs="Times New Roman"/>
          <w:szCs w:val="24"/>
        </w:rPr>
        <w:t xml:space="preserve"> the </w:t>
      </w:r>
      <w:r w:rsidR="006D0403" w:rsidRPr="00600AFD">
        <w:rPr>
          <w:rFonts w:ascii="Times New Roman" w:hAnsi="Times New Roman" w:cs="Times New Roman"/>
          <w:szCs w:val="24"/>
        </w:rPr>
        <w:t>Action Plan for Chapter 23 (hereinafter referred to as ‘</w:t>
      </w:r>
      <w:r w:rsidR="0026509D" w:rsidRPr="00600AFD">
        <w:rPr>
          <w:rFonts w:ascii="Times New Roman" w:hAnsi="Times New Roman" w:cs="Times New Roman"/>
          <w:szCs w:val="24"/>
        </w:rPr>
        <w:t>AP23</w:t>
      </w:r>
      <w:r w:rsidR="006D0403" w:rsidRPr="00600AFD">
        <w:rPr>
          <w:rFonts w:ascii="Times New Roman" w:hAnsi="Times New Roman" w:cs="Times New Roman"/>
          <w:szCs w:val="24"/>
        </w:rPr>
        <w:t xml:space="preserve">’). </w:t>
      </w:r>
      <w:r w:rsidR="00790061" w:rsidRPr="00600AFD">
        <w:rPr>
          <w:rFonts w:ascii="Times New Roman" w:hAnsi="Times New Roman" w:cs="Times New Roman"/>
          <w:szCs w:val="24"/>
        </w:rPr>
        <w:t>This s</w:t>
      </w:r>
      <w:r w:rsidR="008B0212" w:rsidRPr="00600AFD">
        <w:rPr>
          <w:rFonts w:ascii="Times New Roman" w:hAnsi="Times New Roman" w:cs="Times New Roman"/>
          <w:szCs w:val="24"/>
        </w:rPr>
        <w:t xml:space="preserve">trategic </w:t>
      </w:r>
      <w:r w:rsidR="008B0212" w:rsidRPr="00600AFD">
        <w:rPr>
          <w:rFonts w:ascii="Times New Roman" w:hAnsi="Times New Roman" w:cs="Times New Roman"/>
          <w:szCs w:val="24"/>
        </w:rPr>
        <w:lastRenderedPageBreak/>
        <w:t xml:space="preserve">approach to judicial reform proved </w:t>
      </w:r>
      <w:r w:rsidR="00AA43DA" w:rsidRPr="00600AFD">
        <w:rPr>
          <w:rFonts w:ascii="Times New Roman" w:hAnsi="Times New Roman" w:cs="Times New Roman"/>
          <w:szCs w:val="24"/>
        </w:rPr>
        <w:t xml:space="preserve">to be </w:t>
      </w:r>
      <w:r w:rsidR="008633A0" w:rsidRPr="00600AFD">
        <w:rPr>
          <w:rFonts w:ascii="Times New Roman" w:hAnsi="Times New Roman" w:cs="Times New Roman"/>
          <w:szCs w:val="24"/>
        </w:rPr>
        <w:t xml:space="preserve">an </w:t>
      </w:r>
      <w:r w:rsidR="00AA43DA" w:rsidRPr="00600AFD">
        <w:rPr>
          <w:rFonts w:ascii="Times New Roman" w:hAnsi="Times New Roman" w:cs="Times New Roman"/>
          <w:szCs w:val="24"/>
        </w:rPr>
        <w:t xml:space="preserve">efficient mechanism for successful </w:t>
      </w:r>
      <w:r w:rsidR="00E2093C" w:rsidRPr="00600AFD">
        <w:rPr>
          <w:rFonts w:ascii="Times New Roman" w:hAnsi="Times New Roman" w:cs="Times New Roman"/>
          <w:szCs w:val="24"/>
        </w:rPr>
        <w:t>alignment of reform</w:t>
      </w:r>
      <w:r w:rsidR="00D33A17" w:rsidRPr="00600AFD">
        <w:rPr>
          <w:rFonts w:ascii="Times New Roman" w:hAnsi="Times New Roman" w:cs="Times New Roman"/>
          <w:szCs w:val="24"/>
        </w:rPr>
        <w:t xml:space="preserve"> steps</w:t>
      </w:r>
      <w:r w:rsidR="00E2093C" w:rsidRPr="00600AFD">
        <w:rPr>
          <w:rFonts w:ascii="Times New Roman" w:hAnsi="Times New Roman" w:cs="Times New Roman"/>
          <w:szCs w:val="24"/>
        </w:rPr>
        <w:t xml:space="preserve"> and allocation of required resources</w:t>
      </w:r>
      <w:r w:rsidR="00B725D8" w:rsidRPr="00600AFD">
        <w:rPr>
          <w:rFonts w:ascii="Times New Roman" w:hAnsi="Times New Roman" w:cs="Times New Roman"/>
          <w:szCs w:val="24"/>
        </w:rPr>
        <w:t xml:space="preserve">, </w:t>
      </w:r>
      <w:r w:rsidR="002B439A" w:rsidRPr="00600AFD">
        <w:rPr>
          <w:rFonts w:ascii="Times New Roman" w:hAnsi="Times New Roman" w:cs="Times New Roman"/>
          <w:szCs w:val="24"/>
        </w:rPr>
        <w:t>while</w:t>
      </w:r>
      <w:r w:rsidR="009B6625" w:rsidRPr="00600AFD">
        <w:rPr>
          <w:rFonts w:ascii="Times New Roman" w:hAnsi="Times New Roman" w:cs="Times New Roman"/>
          <w:szCs w:val="24"/>
        </w:rPr>
        <w:t xml:space="preserve"> also </w:t>
      </w:r>
      <w:r w:rsidR="002B439A" w:rsidRPr="00600AFD">
        <w:rPr>
          <w:rFonts w:ascii="Times New Roman" w:hAnsi="Times New Roman" w:cs="Times New Roman"/>
          <w:szCs w:val="24"/>
        </w:rPr>
        <w:t xml:space="preserve">being </w:t>
      </w:r>
      <w:r w:rsidR="0022247A" w:rsidRPr="00600AFD">
        <w:rPr>
          <w:rFonts w:ascii="Times New Roman" w:hAnsi="Times New Roman" w:cs="Times New Roman"/>
          <w:szCs w:val="24"/>
        </w:rPr>
        <w:t xml:space="preserve">of </w:t>
      </w:r>
      <w:r w:rsidR="00600AFD" w:rsidRPr="00600AFD">
        <w:rPr>
          <w:rFonts w:ascii="Times New Roman" w:hAnsi="Times New Roman" w:cs="Times New Roman"/>
          <w:szCs w:val="24"/>
        </w:rPr>
        <w:t>importance</w:t>
      </w:r>
      <w:r w:rsidR="009B6625" w:rsidRPr="00600AFD">
        <w:rPr>
          <w:rFonts w:ascii="Times New Roman" w:hAnsi="Times New Roman" w:cs="Times New Roman"/>
          <w:szCs w:val="24"/>
        </w:rPr>
        <w:t xml:space="preserve"> </w:t>
      </w:r>
      <w:r w:rsidR="0022247A" w:rsidRPr="00600AFD">
        <w:rPr>
          <w:rFonts w:ascii="Times New Roman" w:hAnsi="Times New Roman" w:cs="Times New Roman"/>
          <w:szCs w:val="24"/>
        </w:rPr>
        <w:t xml:space="preserve">in the </w:t>
      </w:r>
      <w:r w:rsidR="009A59E8" w:rsidRPr="00600AFD">
        <w:rPr>
          <w:rFonts w:ascii="Times New Roman" w:hAnsi="Times New Roman" w:cs="Times New Roman"/>
          <w:szCs w:val="24"/>
        </w:rPr>
        <w:t xml:space="preserve">process of project support planning in the field of </w:t>
      </w:r>
      <w:r w:rsidR="00790061" w:rsidRPr="00600AFD">
        <w:rPr>
          <w:rFonts w:ascii="Times New Roman" w:hAnsi="Times New Roman" w:cs="Times New Roman"/>
          <w:szCs w:val="24"/>
        </w:rPr>
        <w:t xml:space="preserve">the </w:t>
      </w:r>
      <w:r w:rsidR="009A59E8" w:rsidRPr="00600AFD">
        <w:rPr>
          <w:rFonts w:ascii="Times New Roman" w:hAnsi="Times New Roman" w:cs="Times New Roman"/>
          <w:szCs w:val="24"/>
        </w:rPr>
        <w:t xml:space="preserve">judiciary. </w:t>
      </w:r>
    </w:p>
    <w:p w14:paraId="083C6A98" w14:textId="055FC356" w:rsidR="002B0930" w:rsidRPr="00600AFD" w:rsidRDefault="002B0930" w:rsidP="002B0930">
      <w:pPr>
        <w:spacing w:line="276" w:lineRule="auto"/>
        <w:rPr>
          <w:rFonts w:ascii="Times New Roman" w:hAnsi="Times New Roman" w:cs="Times New Roman"/>
          <w:szCs w:val="24"/>
        </w:rPr>
      </w:pPr>
      <w:r w:rsidRPr="00600AFD">
        <w:rPr>
          <w:rFonts w:ascii="Times New Roman" w:hAnsi="Times New Roman" w:cs="Times New Roman"/>
          <w:szCs w:val="24"/>
        </w:rPr>
        <w:t>In the previous period, many positive advance</w:t>
      </w:r>
      <w:r w:rsidR="005B5A94" w:rsidRPr="00600AFD">
        <w:rPr>
          <w:rFonts w:ascii="Times New Roman" w:hAnsi="Times New Roman" w:cs="Times New Roman"/>
          <w:szCs w:val="24"/>
        </w:rPr>
        <w:t>ment</w:t>
      </w:r>
      <w:r w:rsidRPr="00600AFD">
        <w:rPr>
          <w:rFonts w:ascii="Times New Roman" w:hAnsi="Times New Roman" w:cs="Times New Roman"/>
          <w:szCs w:val="24"/>
        </w:rPr>
        <w:t xml:space="preserve">s have been made in the field of judicial reform, such as: modification, enhancement and implementation of the normative framework in the field of judiciary; rationalization of the network of courts in January 2014; implementation of measures aimed at reduction in </w:t>
      </w:r>
      <w:r w:rsidR="005B5A94" w:rsidRPr="00600AFD">
        <w:rPr>
          <w:rFonts w:ascii="Times New Roman" w:hAnsi="Times New Roman" w:cs="Times New Roman"/>
          <w:szCs w:val="24"/>
        </w:rPr>
        <w:t xml:space="preserve">the </w:t>
      </w:r>
      <w:r w:rsidRPr="00600AFD">
        <w:rPr>
          <w:rFonts w:ascii="Times New Roman" w:hAnsi="Times New Roman" w:cs="Times New Roman"/>
          <w:szCs w:val="24"/>
        </w:rPr>
        <w:t xml:space="preserve">length of court proceedings and reduction of the total number of pending cases, particularly backlog; establishment of the mechanism for alternative dispute resolution; enhancement of accessibility of judicial institutions and transparency of their work; as well as strengthening of institutional and professional capacities of judicial bodies with a view to contributing to Serbia’s European integration process. Nevertheless, there is still significant room for further </w:t>
      </w:r>
      <w:r w:rsidR="005B5A94" w:rsidRPr="00600AFD">
        <w:rPr>
          <w:rFonts w:ascii="Times New Roman" w:hAnsi="Times New Roman" w:cs="Times New Roman"/>
          <w:szCs w:val="24"/>
        </w:rPr>
        <w:t>improvements</w:t>
      </w:r>
      <w:r w:rsidRPr="00600AFD">
        <w:rPr>
          <w:rFonts w:ascii="Times New Roman" w:hAnsi="Times New Roman" w:cs="Times New Roman"/>
          <w:szCs w:val="24"/>
        </w:rPr>
        <w:t xml:space="preserve"> in the process of judicial reform. </w:t>
      </w:r>
    </w:p>
    <w:p w14:paraId="39A94BDC" w14:textId="5F00BD01" w:rsidR="002B0930" w:rsidRPr="00600AFD" w:rsidRDefault="002B0930" w:rsidP="002B0930">
      <w:pPr>
        <w:spacing w:line="276" w:lineRule="auto"/>
        <w:rPr>
          <w:rFonts w:ascii="Times New Roman" w:hAnsi="Times New Roman" w:cs="Times New Roman"/>
          <w:szCs w:val="24"/>
        </w:rPr>
      </w:pPr>
      <w:r w:rsidRPr="00600AFD">
        <w:rPr>
          <w:rFonts w:ascii="Times New Roman" w:hAnsi="Times New Roman" w:cs="Times New Roman"/>
          <w:szCs w:val="24"/>
        </w:rPr>
        <w:t>Key strategic documents specify that the implementation of reform steps in the field of the judiciary requires changes to the normative framework. In this respect, the 2013</w:t>
      </w:r>
      <w:r w:rsidR="000F3999">
        <w:rPr>
          <w:rFonts w:ascii="Times New Roman" w:hAnsi="Times New Roman" w:cs="Times New Roman"/>
          <w:szCs w:val="24"/>
        </w:rPr>
        <w:t>–</w:t>
      </w:r>
      <w:r w:rsidRPr="00600AFD">
        <w:rPr>
          <w:rFonts w:ascii="Times New Roman" w:hAnsi="Times New Roman" w:cs="Times New Roman"/>
          <w:szCs w:val="24"/>
        </w:rPr>
        <w:t xml:space="preserve">2018 NJRS and AP23 stipulate the need for a change to the constitutional framework as one of the most important measures in the field of judiciary, which above all pertains to the influence of the legislative and executive branches of power on the procedure of election and termination of office of judges, court presidents, public prosecutors / deputy public prosecutors, as well as elected members of the High </w:t>
      </w:r>
      <w:r w:rsidR="00456F7A" w:rsidRPr="00600AFD">
        <w:rPr>
          <w:rFonts w:ascii="Times New Roman" w:hAnsi="Times New Roman" w:cs="Times New Roman"/>
          <w:szCs w:val="24"/>
        </w:rPr>
        <w:t>Court</w:t>
      </w:r>
      <w:r w:rsidRPr="00600AFD">
        <w:rPr>
          <w:rFonts w:ascii="Times New Roman" w:hAnsi="Times New Roman" w:cs="Times New Roman"/>
          <w:szCs w:val="24"/>
        </w:rPr>
        <w:t xml:space="preserve"> Council and the State Prosecutorial Council, specifying in the process the role and position of the Judicial Academy as a mechanism for entry into judiciary based on objective results. Changes to the Constitution will also require changes to the implementing laws and by</w:t>
      </w:r>
      <w:r w:rsidR="000F3999">
        <w:rPr>
          <w:rFonts w:ascii="Times New Roman" w:hAnsi="Times New Roman" w:cs="Times New Roman"/>
          <w:szCs w:val="24"/>
        </w:rPr>
        <w:t>–</w:t>
      </w:r>
      <w:r w:rsidRPr="00600AFD">
        <w:rPr>
          <w:rFonts w:ascii="Times New Roman" w:hAnsi="Times New Roman" w:cs="Times New Roman"/>
          <w:szCs w:val="24"/>
        </w:rPr>
        <w:t>laws, and their harmonization with European standards. This process was launched in the previous period, though its completion and adequate implementation will present the greatest challenge to the new Strategy.</w:t>
      </w:r>
    </w:p>
    <w:p w14:paraId="7373D032" w14:textId="00080017" w:rsidR="00E20120" w:rsidRPr="00600AFD" w:rsidRDefault="00E05906" w:rsidP="00524B61">
      <w:pPr>
        <w:spacing w:line="276" w:lineRule="auto"/>
        <w:rPr>
          <w:rFonts w:ascii="Times New Roman" w:hAnsi="Times New Roman" w:cs="Times New Roman"/>
          <w:szCs w:val="24"/>
        </w:rPr>
      </w:pPr>
      <w:r w:rsidRPr="00600AFD">
        <w:rPr>
          <w:rFonts w:ascii="Times New Roman" w:hAnsi="Times New Roman" w:cs="Times New Roman"/>
          <w:szCs w:val="24"/>
        </w:rPr>
        <w:t>B</w:t>
      </w:r>
      <w:r w:rsidR="00755E90" w:rsidRPr="00600AFD">
        <w:rPr>
          <w:rFonts w:ascii="Times New Roman" w:hAnsi="Times New Roman" w:cs="Times New Roman"/>
          <w:szCs w:val="24"/>
        </w:rPr>
        <w:t xml:space="preserve">earing in mind the Republic of Serbia’s commitment to the European integration process, as well as </w:t>
      </w:r>
      <w:r w:rsidR="001D44B7" w:rsidRPr="00600AFD">
        <w:rPr>
          <w:rFonts w:ascii="Times New Roman" w:hAnsi="Times New Roman" w:cs="Times New Roman"/>
          <w:szCs w:val="24"/>
        </w:rPr>
        <w:t>the direction of reforms</w:t>
      </w:r>
      <w:r w:rsidR="00A918FF" w:rsidRPr="00600AFD">
        <w:rPr>
          <w:rFonts w:ascii="Times New Roman" w:hAnsi="Times New Roman" w:cs="Times New Roman"/>
          <w:szCs w:val="24"/>
        </w:rPr>
        <w:t xml:space="preserve"> and development</w:t>
      </w:r>
      <w:r w:rsidR="001D44B7" w:rsidRPr="00600AFD">
        <w:rPr>
          <w:rFonts w:ascii="Times New Roman" w:hAnsi="Times New Roman" w:cs="Times New Roman"/>
          <w:szCs w:val="24"/>
        </w:rPr>
        <w:t xml:space="preserve"> </w:t>
      </w:r>
      <w:r w:rsidR="002257D9" w:rsidRPr="00600AFD">
        <w:rPr>
          <w:rFonts w:ascii="Times New Roman" w:hAnsi="Times New Roman" w:cs="Times New Roman"/>
          <w:szCs w:val="24"/>
        </w:rPr>
        <w:t xml:space="preserve">set </w:t>
      </w:r>
      <w:r w:rsidR="001D44B7" w:rsidRPr="00600AFD">
        <w:rPr>
          <w:rFonts w:ascii="Times New Roman" w:hAnsi="Times New Roman" w:cs="Times New Roman"/>
          <w:szCs w:val="24"/>
        </w:rPr>
        <w:t>out</w:t>
      </w:r>
      <w:r w:rsidR="002257D9" w:rsidRPr="00600AFD">
        <w:rPr>
          <w:rFonts w:ascii="Times New Roman" w:hAnsi="Times New Roman" w:cs="Times New Roman"/>
          <w:szCs w:val="24"/>
        </w:rPr>
        <w:t xml:space="preserve"> in the recommendations </w:t>
      </w:r>
      <w:r w:rsidR="00241C9D" w:rsidRPr="00600AFD">
        <w:rPr>
          <w:rFonts w:ascii="Times New Roman" w:hAnsi="Times New Roman" w:cs="Times New Roman"/>
          <w:szCs w:val="24"/>
        </w:rPr>
        <w:t xml:space="preserve">issued by </w:t>
      </w:r>
      <w:r w:rsidR="002257D9" w:rsidRPr="00600AFD">
        <w:rPr>
          <w:rFonts w:ascii="Times New Roman" w:hAnsi="Times New Roman" w:cs="Times New Roman"/>
          <w:szCs w:val="24"/>
        </w:rPr>
        <w:t>the European Commission (hereinafter referred to as ‘EC’)</w:t>
      </w:r>
      <w:r w:rsidR="00C916F1" w:rsidRPr="00600AFD">
        <w:rPr>
          <w:rFonts w:ascii="Times New Roman" w:hAnsi="Times New Roman" w:cs="Times New Roman"/>
          <w:szCs w:val="24"/>
        </w:rPr>
        <w:t xml:space="preserve"> in the Chapter 23 Screening Report</w:t>
      </w:r>
      <w:r w:rsidR="00E20120" w:rsidRPr="00600AFD">
        <w:rPr>
          <w:rStyle w:val="FootnoteReference"/>
          <w:rFonts w:ascii="Times New Roman" w:hAnsi="Times New Roman" w:cs="Times New Roman"/>
          <w:szCs w:val="24"/>
        </w:rPr>
        <w:footnoteReference w:id="4"/>
      </w:r>
      <w:r w:rsidR="00E20120" w:rsidRPr="00600AFD">
        <w:rPr>
          <w:rFonts w:ascii="Times New Roman" w:hAnsi="Times New Roman" w:cs="Times New Roman"/>
          <w:szCs w:val="24"/>
        </w:rPr>
        <w:t xml:space="preserve"> </w:t>
      </w:r>
      <w:r w:rsidR="004333F1" w:rsidRPr="00600AFD">
        <w:rPr>
          <w:rFonts w:ascii="Times New Roman" w:hAnsi="Times New Roman" w:cs="Times New Roman"/>
          <w:szCs w:val="24"/>
        </w:rPr>
        <w:t>and interim benchmarks contained in the negotiation position</w:t>
      </w:r>
      <w:r w:rsidR="00E20120" w:rsidRPr="00600AFD">
        <w:rPr>
          <w:rStyle w:val="FootnoteReference"/>
          <w:rFonts w:ascii="Times New Roman" w:hAnsi="Times New Roman" w:cs="Times New Roman"/>
          <w:szCs w:val="24"/>
        </w:rPr>
        <w:footnoteReference w:id="5"/>
      </w:r>
      <w:r w:rsidR="00E20120" w:rsidRPr="00600AFD">
        <w:rPr>
          <w:rFonts w:ascii="Times New Roman" w:hAnsi="Times New Roman" w:cs="Times New Roman"/>
          <w:szCs w:val="24"/>
        </w:rPr>
        <w:t xml:space="preserve"> </w:t>
      </w:r>
      <w:r w:rsidR="00442C34" w:rsidRPr="00600AFD">
        <w:rPr>
          <w:rFonts w:ascii="Times New Roman" w:hAnsi="Times New Roman" w:cs="Times New Roman"/>
          <w:szCs w:val="24"/>
        </w:rPr>
        <w:t xml:space="preserve">for the same chapter, </w:t>
      </w:r>
      <w:r w:rsidR="002B439A" w:rsidRPr="00600AFD">
        <w:rPr>
          <w:rFonts w:ascii="Times New Roman" w:hAnsi="Times New Roman" w:cs="Times New Roman"/>
          <w:szCs w:val="24"/>
        </w:rPr>
        <w:t xml:space="preserve">the </w:t>
      </w:r>
      <w:r w:rsidR="00442C34" w:rsidRPr="00600AFD">
        <w:rPr>
          <w:rFonts w:ascii="Times New Roman" w:hAnsi="Times New Roman" w:cs="Times New Roman"/>
          <w:szCs w:val="24"/>
        </w:rPr>
        <w:t xml:space="preserve">adoption of the Judicial </w:t>
      </w:r>
      <w:r w:rsidR="00F47C07" w:rsidRPr="00600AFD">
        <w:rPr>
          <w:rFonts w:ascii="Times New Roman" w:hAnsi="Times New Roman" w:cs="Times New Roman"/>
          <w:szCs w:val="24"/>
        </w:rPr>
        <w:t xml:space="preserve">Development </w:t>
      </w:r>
      <w:r w:rsidR="00442C34" w:rsidRPr="00600AFD">
        <w:rPr>
          <w:rFonts w:ascii="Times New Roman" w:hAnsi="Times New Roman" w:cs="Times New Roman"/>
          <w:szCs w:val="24"/>
        </w:rPr>
        <w:t xml:space="preserve">Strategy for the </w:t>
      </w:r>
      <w:r w:rsidR="000F3999">
        <w:rPr>
          <w:rFonts w:ascii="Times New Roman" w:hAnsi="Times New Roman" w:cs="Times New Roman"/>
          <w:szCs w:val="24"/>
        </w:rPr>
        <w:t>2020–2025</w:t>
      </w:r>
      <w:r w:rsidR="00442C34" w:rsidRPr="00600AFD">
        <w:rPr>
          <w:rFonts w:ascii="Times New Roman" w:hAnsi="Times New Roman" w:cs="Times New Roman"/>
          <w:szCs w:val="24"/>
        </w:rPr>
        <w:t xml:space="preserve"> period (hereinafter referred to as ‘</w:t>
      </w:r>
      <w:r w:rsidR="000F3999">
        <w:rPr>
          <w:rFonts w:ascii="Times New Roman" w:hAnsi="Times New Roman" w:cs="Times New Roman"/>
          <w:szCs w:val="24"/>
        </w:rPr>
        <w:t>2020–2025</w:t>
      </w:r>
      <w:r w:rsidR="00D762B5" w:rsidRPr="00600AFD">
        <w:rPr>
          <w:rFonts w:ascii="Times New Roman" w:hAnsi="Times New Roman" w:cs="Times New Roman"/>
          <w:szCs w:val="24"/>
        </w:rPr>
        <w:t xml:space="preserve"> J</w:t>
      </w:r>
      <w:r w:rsidR="00314E22" w:rsidRPr="00600AFD">
        <w:rPr>
          <w:rFonts w:ascii="Times New Roman" w:hAnsi="Times New Roman" w:cs="Times New Roman"/>
          <w:szCs w:val="24"/>
        </w:rPr>
        <w:t>D</w:t>
      </w:r>
      <w:r w:rsidR="00D762B5" w:rsidRPr="00600AFD">
        <w:rPr>
          <w:rFonts w:ascii="Times New Roman" w:hAnsi="Times New Roman" w:cs="Times New Roman"/>
          <w:szCs w:val="24"/>
        </w:rPr>
        <w:t xml:space="preserve">S’) </w:t>
      </w:r>
      <w:r w:rsidR="003A5776" w:rsidRPr="00600AFD">
        <w:rPr>
          <w:rFonts w:ascii="Times New Roman" w:hAnsi="Times New Roman" w:cs="Times New Roman"/>
          <w:szCs w:val="24"/>
        </w:rPr>
        <w:t xml:space="preserve">marks </w:t>
      </w:r>
      <w:r w:rsidR="007A7BCB" w:rsidRPr="00600AFD">
        <w:rPr>
          <w:rFonts w:ascii="Times New Roman" w:hAnsi="Times New Roman" w:cs="Times New Roman"/>
          <w:szCs w:val="24"/>
        </w:rPr>
        <w:t xml:space="preserve">the </w:t>
      </w:r>
      <w:r w:rsidR="00AA750C" w:rsidRPr="00600AFD">
        <w:rPr>
          <w:rFonts w:ascii="Times New Roman" w:hAnsi="Times New Roman" w:cs="Times New Roman"/>
          <w:szCs w:val="24"/>
        </w:rPr>
        <w:t>completion</w:t>
      </w:r>
      <w:r w:rsidR="00AB293D" w:rsidRPr="00600AFD">
        <w:rPr>
          <w:rFonts w:ascii="Times New Roman" w:hAnsi="Times New Roman" w:cs="Times New Roman"/>
          <w:szCs w:val="24"/>
        </w:rPr>
        <w:t xml:space="preserve"> </w:t>
      </w:r>
      <w:r w:rsidR="006F1925" w:rsidRPr="00600AFD">
        <w:rPr>
          <w:rFonts w:ascii="Times New Roman" w:hAnsi="Times New Roman" w:cs="Times New Roman"/>
          <w:szCs w:val="24"/>
        </w:rPr>
        <w:t xml:space="preserve">of the reform process and </w:t>
      </w:r>
      <w:r w:rsidR="006B306C" w:rsidRPr="00600AFD">
        <w:rPr>
          <w:rFonts w:ascii="Times New Roman" w:hAnsi="Times New Roman" w:cs="Times New Roman"/>
          <w:szCs w:val="24"/>
        </w:rPr>
        <w:t>c</w:t>
      </w:r>
      <w:r w:rsidR="00DB1833" w:rsidRPr="00600AFD">
        <w:rPr>
          <w:rFonts w:ascii="Times New Roman" w:hAnsi="Times New Roman" w:cs="Times New Roman"/>
          <w:szCs w:val="24"/>
        </w:rPr>
        <w:t xml:space="preserve">reation of conditions for development </w:t>
      </w:r>
      <w:r w:rsidR="000D077C" w:rsidRPr="00600AFD">
        <w:rPr>
          <w:rFonts w:ascii="Times New Roman" w:hAnsi="Times New Roman" w:cs="Times New Roman"/>
          <w:szCs w:val="24"/>
        </w:rPr>
        <w:t>continuity</w:t>
      </w:r>
      <w:r w:rsidR="007911E0" w:rsidRPr="00600AFD">
        <w:rPr>
          <w:rFonts w:ascii="Times New Roman" w:hAnsi="Times New Roman" w:cs="Times New Roman"/>
          <w:szCs w:val="24"/>
        </w:rPr>
        <w:t xml:space="preserve"> that is </w:t>
      </w:r>
      <w:r w:rsidR="00764C73" w:rsidRPr="00600AFD">
        <w:rPr>
          <w:rFonts w:ascii="Times New Roman" w:hAnsi="Times New Roman" w:cs="Times New Roman"/>
          <w:szCs w:val="24"/>
        </w:rPr>
        <w:t xml:space="preserve">sustaining and </w:t>
      </w:r>
      <w:r w:rsidR="00194976" w:rsidRPr="00600AFD">
        <w:rPr>
          <w:rFonts w:ascii="Times New Roman" w:hAnsi="Times New Roman" w:cs="Times New Roman"/>
          <w:szCs w:val="24"/>
        </w:rPr>
        <w:t xml:space="preserve">enhancing the quality of </w:t>
      </w:r>
      <w:r w:rsidR="007911E0" w:rsidRPr="00600AFD">
        <w:rPr>
          <w:rFonts w:ascii="Times New Roman" w:hAnsi="Times New Roman" w:cs="Times New Roman"/>
          <w:szCs w:val="24"/>
        </w:rPr>
        <w:t xml:space="preserve">the </w:t>
      </w:r>
      <w:r w:rsidR="00194976" w:rsidRPr="00600AFD">
        <w:rPr>
          <w:rFonts w:ascii="Times New Roman" w:hAnsi="Times New Roman" w:cs="Times New Roman"/>
          <w:szCs w:val="24"/>
        </w:rPr>
        <w:t>judiciary,</w:t>
      </w:r>
      <w:r w:rsidR="00112FB5" w:rsidRPr="00600AFD">
        <w:rPr>
          <w:rFonts w:ascii="Times New Roman" w:hAnsi="Times New Roman" w:cs="Times New Roman"/>
          <w:szCs w:val="24"/>
        </w:rPr>
        <w:t xml:space="preserve"> as well as </w:t>
      </w:r>
      <w:r w:rsidR="007911E0" w:rsidRPr="00600AFD">
        <w:rPr>
          <w:rFonts w:ascii="Times New Roman" w:hAnsi="Times New Roman" w:cs="Times New Roman"/>
          <w:szCs w:val="24"/>
        </w:rPr>
        <w:t xml:space="preserve">providing </w:t>
      </w:r>
      <w:r w:rsidR="00112FB5" w:rsidRPr="00600AFD">
        <w:rPr>
          <w:rFonts w:ascii="Times New Roman" w:hAnsi="Times New Roman" w:cs="Times New Roman"/>
          <w:szCs w:val="24"/>
        </w:rPr>
        <w:t>a clear and predictable</w:t>
      </w:r>
      <w:r w:rsidR="00F0720D" w:rsidRPr="00600AFD">
        <w:rPr>
          <w:rFonts w:ascii="Times New Roman" w:hAnsi="Times New Roman" w:cs="Times New Roman"/>
          <w:szCs w:val="24"/>
        </w:rPr>
        <w:t xml:space="preserve"> framework for </w:t>
      </w:r>
      <w:r w:rsidR="00830DE2" w:rsidRPr="00600AFD">
        <w:rPr>
          <w:rFonts w:ascii="Times New Roman" w:hAnsi="Times New Roman" w:cs="Times New Roman"/>
          <w:szCs w:val="24"/>
        </w:rPr>
        <w:t>monitoring the achievements</w:t>
      </w:r>
      <w:r w:rsidR="00BF32FF" w:rsidRPr="00600AFD">
        <w:rPr>
          <w:rFonts w:ascii="Times New Roman" w:hAnsi="Times New Roman" w:cs="Times New Roman"/>
          <w:szCs w:val="24"/>
        </w:rPr>
        <w:t xml:space="preserve"> made thus far</w:t>
      </w:r>
      <w:r w:rsidR="005E0280" w:rsidRPr="00600AFD">
        <w:rPr>
          <w:rFonts w:ascii="Times New Roman" w:hAnsi="Times New Roman" w:cs="Times New Roman"/>
          <w:szCs w:val="24"/>
        </w:rPr>
        <w:t xml:space="preserve"> and the </w:t>
      </w:r>
      <w:r w:rsidR="007911E0" w:rsidRPr="00600AFD">
        <w:rPr>
          <w:rFonts w:ascii="Times New Roman" w:hAnsi="Times New Roman" w:cs="Times New Roman"/>
          <w:szCs w:val="24"/>
        </w:rPr>
        <w:t>establishment</w:t>
      </w:r>
      <w:r w:rsidR="005E0280" w:rsidRPr="00600AFD">
        <w:rPr>
          <w:rFonts w:ascii="Times New Roman" w:hAnsi="Times New Roman" w:cs="Times New Roman"/>
          <w:szCs w:val="24"/>
        </w:rPr>
        <w:t xml:space="preserve"> of conditions for their sustainability</w:t>
      </w:r>
      <w:r w:rsidR="0028416E" w:rsidRPr="00600AFD">
        <w:rPr>
          <w:rFonts w:ascii="Times New Roman" w:hAnsi="Times New Roman" w:cs="Times New Roman"/>
          <w:szCs w:val="24"/>
        </w:rPr>
        <w:t xml:space="preserve">. </w:t>
      </w:r>
    </w:p>
    <w:p w14:paraId="502F9B61" w14:textId="72468A0A" w:rsidR="00524B61" w:rsidRPr="00600AFD" w:rsidRDefault="00BB3B1B" w:rsidP="00F40D25">
      <w:pPr>
        <w:pStyle w:val="Heading1"/>
        <w:numPr>
          <w:ilvl w:val="0"/>
          <w:numId w:val="29"/>
        </w:numPr>
        <w:rPr>
          <w:rFonts w:ascii="Times New Roman" w:hAnsi="Times New Roman"/>
          <w:sz w:val="24"/>
        </w:rPr>
      </w:pPr>
      <w:bookmarkStart w:id="2" w:name="_Toc39707745"/>
      <w:r w:rsidRPr="00600AFD">
        <w:rPr>
          <w:rFonts w:ascii="Times New Roman" w:hAnsi="Times New Roman"/>
          <w:sz w:val="24"/>
        </w:rPr>
        <w:lastRenderedPageBreak/>
        <w:t>PLANING DOCUMENTS AND LEGAL FRAMEWORK RELEVANT FOR THE STRATEGY</w:t>
      </w:r>
      <w:bookmarkEnd w:id="2"/>
    </w:p>
    <w:p w14:paraId="07E74A1F" w14:textId="19DF92A2" w:rsidR="00344EE1" w:rsidRPr="00600AFD" w:rsidRDefault="00344EE1" w:rsidP="00344EE1">
      <w:pPr>
        <w:spacing w:line="276" w:lineRule="auto"/>
        <w:rPr>
          <w:rFonts w:ascii="Times New Roman" w:hAnsi="Times New Roman" w:cs="Times New Roman"/>
          <w:szCs w:val="24"/>
        </w:rPr>
      </w:pPr>
      <w:r w:rsidRPr="00600AFD">
        <w:rPr>
          <w:rFonts w:ascii="Times New Roman" w:hAnsi="Times New Roman" w:cs="Times New Roman"/>
          <w:szCs w:val="24"/>
        </w:rPr>
        <w:t>Pursuant to the Article 12 of the Law on State Administration</w:t>
      </w:r>
      <w:r w:rsidRPr="00600AFD">
        <w:rPr>
          <w:rStyle w:val="FootnoteReference"/>
          <w:rFonts w:ascii="Times New Roman" w:hAnsi="Times New Roman" w:cs="Times New Roman"/>
          <w:szCs w:val="24"/>
        </w:rPr>
        <w:footnoteReference w:id="6"/>
      </w:r>
      <w:r w:rsidRPr="00600AFD">
        <w:rPr>
          <w:rFonts w:ascii="Times New Roman" w:hAnsi="Times New Roman" w:cs="Times New Roman"/>
          <w:szCs w:val="24"/>
        </w:rPr>
        <w:t xml:space="preserve">, which provides that public administration bodies propose to the Government development strategies and other measures that shape the Government's policy, and in accordance with the competences of the Ministry of Justice </w:t>
      </w:r>
      <w:r w:rsidR="00CB02AD" w:rsidRPr="00600AFD">
        <w:rPr>
          <w:rFonts w:ascii="Times New Roman" w:hAnsi="Times New Roman" w:cs="Times New Roman"/>
          <w:szCs w:val="24"/>
        </w:rPr>
        <w:t>stipulated</w:t>
      </w:r>
      <w:r w:rsidRPr="00600AFD">
        <w:rPr>
          <w:rFonts w:ascii="Times New Roman" w:hAnsi="Times New Roman" w:cs="Times New Roman"/>
          <w:szCs w:val="24"/>
        </w:rPr>
        <w:t xml:space="preserve"> in Article 9 of the Law on Ministries</w:t>
      </w:r>
      <w:r w:rsidR="00855EB9" w:rsidRPr="00600AFD">
        <w:rPr>
          <w:rStyle w:val="FootnoteReference"/>
          <w:rFonts w:ascii="Times New Roman" w:hAnsi="Times New Roman" w:cs="Times New Roman"/>
          <w:szCs w:val="24"/>
        </w:rPr>
        <w:footnoteReference w:id="7"/>
      </w:r>
      <w:r w:rsidRPr="00600AFD">
        <w:rPr>
          <w:rFonts w:ascii="Times New Roman" w:hAnsi="Times New Roman" w:cs="Times New Roman"/>
          <w:szCs w:val="24"/>
        </w:rPr>
        <w:t xml:space="preserve">, which defines the scope of competence of the Ministry of Justice, </w:t>
      </w:r>
      <w:r w:rsidR="00E8448E">
        <w:rPr>
          <w:rFonts w:ascii="Times New Roman" w:hAnsi="Times New Roman" w:cs="Times New Roman"/>
          <w:szCs w:val="24"/>
        </w:rPr>
        <w:t>as well as Article 38 of the Law on the Planning System of the Republic of Serbia</w:t>
      </w:r>
      <w:r w:rsidR="00E8448E">
        <w:rPr>
          <w:rStyle w:val="FootnoteReference"/>
          <w:rFonts w:ascii="Times New Roman" w:hAnsi="Times New Roman" w:cs="Times New Roman"/>
          <w:szCs w:val="24"/>
        </w:rPr>
        <w:footnoteReference w:id="8"/>
      </w:r>
      <w:r w:rsidR="00E8448E">
        <w:rPr>
          <w:rFonts w:ascii="Times New Roman" w:hAnsi="Times New Roman" w:cs="Times New Roman"/>
          <w:szCs w:val="24"/>
        </w:rPr>
        <w:t xml:space="preserve">, </w:t>
      </w:r>
      <w:r w:rsidR="00AC552F" w:rsidRPr="00600AFD">
        <w:rPr>
          <w:rFonts w:ascii="Times New Roman" w:hAnsi="Times New Roman" w:cs="Times New Roman"/>
          <w:szCs w:val="24"/>
        </w:rPr>
        <w:t>JDS</w:t>
      </w:r>
      <w:r w:rsidRPr="00600AFD">
        <w:rPr>
          <w:rFonts w:ascii="Times New Roman" w:hAnsi="Times New Roman" w:cs="Times New Roman"/>
          <w:szCs w:val="24"/>
        </w:rPr>
        <w:t xml:space="preserve"> 20</w:t>
      </w:r>
      <w:r w:rsidR="00E8448E">
        <w:rPr>
          <w:rFonts w:ascii="Times New Roman" w:hAnsi="Times New Roman" w:cs="Times New Roman"/>
          <w:szCs w:val="24"/>
        </w:rPr>
        <w:t>20</w:t>
      </w:r>
      <w:r w:rsidR="000F3999">
        <w:rPr>
          <w:rFonts w:ascii="Times New Roman" w:hAnsi="Times New Roman" w:cs="Times New Roman"/>
          <w:szCs w:val="24"/>
        </w:rPr>
        <w:t>–</w:t>
      </w:r>
      <w:r w:rsidRPr="00600AFD">
        <w:rPr>
          <w:rFonts w:ascii="Times New Roman" w:hAnsi="Times New Roman" w:cs="Times New Roman"/>
          <w:szCs w:val="24"/>
        </w:rPr>
        <w:t>202</w:t>
      </w:r>
      <w:r w:rsidR="00E8448E">
        <w:rPr>
          <w:rFonts w:ascii="Times New Roman" w:hAnsi="Times New Roman" w:cs="Times New Roman"/>
          <w:szCs w:val="24"/>
        </w:rPr>
        <w:t>5</w:t>
      </w:r>
      <w:r w:rsidRPr="00600AFD">
        <w:rPr>
          <w:rFonts w:ascii="Times New Roman" w:hAnsi="Times New Roman" w:cs="Times New Roman"/>
          <w:szCs w:val="24"/>
        </w:rPr>
        <w:t xml:space="preserve"> </w:t>
      </w:r>
      <w:r w:rsidR="00AC552F" w:rsidRPr="00600AFD">
        <w:rPr>
          <w:rFonts w:ascii="Times New Roman" w:hAnsi="Times New Roman" w:cs="Times New Roman"/>
          <w:szCs w:val="24"/>
        </w:rPr>
        <w:t xml:space="preserve">represents </w:t>
      </w:r>
      <w:r w:rsidRPr="00600AFD">
        <w:rPr>
          <w:rFonts w:ascii="Times New Roman" w:hAnsi="Times New Roman" w:cs="Times New Roman"/>
          <w:szCs w:val="24"/>
        </w:rPr>
        <w:t>a strategic document</w:t>
      </w:r>
      <w:r w:rsidR="008A1DDD" w:rsidRPr="00600AFD">
        <w:rPr>
          <w:rFonts w:ascii="Times New Roman" w:hAnsi="Times New Roman" w:cs="Times New Roman"/>
          <w:szCs w:val="24"/>
        </w:rPr>
        <w:t xml:space="preserve"> with</w:t>
      </w:r>
      <w:r w:rsidRPr="00600AFD">
        <w:rPr>
          <w:rFonts w:ascii="Times New Roman" w:hAnsi="Times New Roman" w:cs="Times New Roman"/>
          <w:szCs w:val="24"/>
        </w:rPr>
        <w:t xml:space="preserve"> comprehensive approach</w:t>
      </w:r>
      <w:r w:rsidR="008A1DDD" w:rsidRPr="00600AFD">
        <w:rPr>
          <w:rFonts w:ascii="Times New Roman" w:hAnsi="Times New Roman" w:cs="Times New Roman"/>
          <w:szCs w:val="24"/>
        </w:rPr>
        <w:t xml:space="preserve"> to</w:t>
      </w:r>
      <w:r w:rsidRPr="00600AFD">
        <w:rPr>
          <w:rFonts w:ascii="Times New Roman" w:hAnsi="Times New Roman" w:cs="Times New Roman"/>
          <w:szCs w:val="24"/>
        </w:rPr>
        <w:t xml:space="preserve"> </w:t>
      </w:r>
      <w:r w:rsidR="008A1DDD" w:rsidRPr="00600AFD">
        <w:rPr>
          <w:rFonts w:ascii="Times New Roman" w:hAnsi="Times New Roman" w:cs="Times New Roman"/>
          <w:szCs w:val="24"/>
        </w:rPr>
        <w:t xml:space="preserve">the </w:t>
      </w:r>
      <w:r w:rsidRPr="00600AFD">
        <w:rPr>
          <w:rFonts w:ascii="Times New Roman" w:hAnsi="Times New Roman" w:cs="Times New Roman"/>
          <w:szCs w:val="24"/>
        </w:rPr>
        <w:t xml:space="preserve">judicial development. Some of the areas </w:t>
      </w:r>
      <w:r w:rsidR="00842596" w:rsidRPr="00600AFD">
        <w:rPr>
          <w:rFonts w:ascii="Times New Roman" w:hAnsi="Times New Roman" w:cs="Times New Roman"/>
          <w:szCs w:val="24"/>
        </w:rPr>
        <w:t>encompassed</w:t>
      </w:r>
      <w:r w:rsidRPr="00600AFD">
        <w:rPr>
          <w:rFonts w:ascii="Times New Roman" w:hAnsi="Times New Roman" w:cs="Times New Roman"/>
          <w:szCs w:val="24"/>
        </w:rPr>
        <w:t xml:space="preserve"> by this strategy are more or less </w:t>
      </w:r>
      <w:r w:rsidR="00842596" w:rsidRPr="00600AFD">
        <w:rPr>
          <w:rFonts w:ascii="Times New Roman" w:hAnsi="Times New Roman" w:cs="Times New Roman"/>
          <w:szCs w:val="24"/>
        </w:rPr>
        <w:t>included in</w:t>
      </w:r>
      <w:r w:rsidRPr="00600AFD">
        <w:rPr>
          <w:rFonts w:ascii="Times New Roman" w:hAnsi="Times New Roman" w:cs="Times New Roman"/>
          <w:szCs w:val="24"/>
        </w:rPr>
        <w:t xml:space="preserve"> other applicable public policy documents: </w:t>
      </w:r>
      <w:proofErr w:type="gramStart"/>
      <w:r w:rsidRPr="00600AFD">
        <w:rPr>
          <w:rFonts w:ascii="Times New Roman" w:hAnsi="Times New Roman" w:cs="Times New Roman"/>
          <w:szCs w:val="24"/>
        </w:rPr>
        <w:t>the</w:t>
      </w:r>
      <w:proofErr w:type="gramEnd"/>
      <w:r w:rsidRPr="00600AFD">
        <w:rPr>
          <w:rFonts w:ascii="Times New Roman" w:hAnsi="Times New Roman" w:cs="Times New Roman"/>
          <w:szCs w:val="24"/>
        </w:rPr>
        <w:t xml:space="preserve"> Action Plan for Chapter 23</w:t>
      </w:r>
      <w:r w:rsidR="00EB25E9" w:rsidRPr="00600AFD">
        <w:rPr>
          <w:rStyle w:val="FootnoteReference"/>
          <w:rFonts w:ascii="Times New Roman" w:hAnsi="Times New Roman" w:cs="Times New Roman"/>
          <w:szCs w:val="24"/>
        </w:rPr>
        <w:footnoteReference w:id="9"/>
      </w:r>
      <w:r w:rsidRPr="00600AFD">
        <w:rPr>
          <w:rFonts w:ascii="Times New Roman" w:hAnsi="Times New Roman" w:cs="Times New Roman"/>
          <w:szCs w:val="24"/>
        </w:rPr>
        <w:t xml:space="preserve">, the National </w:t>
      </w:r>
      <w:r w:rsidR="001E2BB3" w:rsidRPr="00600AFD">
        <w:rPr>
          <w:rFonts w:ascii="Times New Roman" w:hAnsi="Times New Roman" w:cs="Times New Roman"/>
          <w:szCs w:val="24"/>
        </w:rPr>
        <w:t>Strategy for War Crimes Processing</w:t>
      </w:r>
      <w:r w:rsidR="00EB25E9" w:rsidRPr="00600AFD">
        <w:rPr>
          <w:rStyle w:val="FootnoteReference"/>
          <w:rFonts w:ascii="Times New Roman" w:hAnsi="Times New Roman" w:cs="Times New Roman"/>
          <w:szCs w:val="24"/>
        </w:rPr>
        <w:footnoteReference w:id="10"/>
      </w:r>
      <w:r w:rsidRPr="00600AFD">
        <w:rPr>
          <w:rFonts w:ascii="Times New Roman" w:hAnsi="Times New Roman" w:cs="Times New Roman"/>
          <w:szCs w:val="24"/>
        </w:rPr>
        <w:t xml:space="preserve"> and the </w:t>
      </w:r>
      <w:r w:rsidR="00BD06C4" w:rsidRPr="00600AFD">
        <w:rPr>
          <w:rFonts w:ascii="Times New Roman" w:hAnsi="Times New Roman" w:cs="Times New Roman"/>
          <w:szCs w:val="24"/>
        </w:rPr>
        <w:t xml:space="preserve">National Strategy for Information Society </w:t>
      </w:r>
      <w:r w:rsidRPr="00600AFD">
        <w:rPr>
          <w:rFonts w:ascii="Times New Roman" w:hAnsi="Times New Roman" w:cs="Times New Roman"/>
          <w:szCs w:val="24"/>
        </w:rPr>
        <w:t>in the Republic of Serbia until 2020.</w:t>
      </w:r>
      <w:r w:rsidR="00086CE2" w:rsidRPr="00600AFD">
        <w:rPr>
          <w:rStyle w:val="FootnoteReference"/>
          <w:rFonts w:ascii="Times New Roman" w:hAnsi="Times New Roman" w:cs="Times New Roman"/>
          <w:szCs w:val="24"/>
        </w:rPr>
        <w:footnoteReference w:id="11"/>
      </w:r>
    </w:p>
    <w:p w14:paraId="4F1345D4" w14:textId="79EAFF88" w:rsidR="00344EE1" w:rsidRPr="00600AFD" w:rsidRDefault="00344EE1">
      <w:pPr>
        <w:spacing w:line="276" w:lineRule="auto"/>
        <w:rPr>
          <w:rFonts w:ascii="Times New Roman" w:hAnsi="Times New Roman" w:cs="Times New Roman"/>
          <w:szCs w:val="24"/>
        </w:rPr>
      </w:pPr>
      <w:r w:rsidRPr="00600AFD">
        <w:rPr>
          <w:rFonts w:ascii="Times New Roman" w:hAnsi="Times New Roman" w:cs="Times New Roman"/>
          <w:szCs w:val="24"/>
        </w:rPr>
        <w:t xml:space="preserve">In this </w:t>
      </w:r>
      <w:r w:rsidR="00B73131" w:rsidRPr="00600AFD">
        <w:rPr>
          <w:rFonts w:ascii="Times New Roman" w:hAnsi="Times New Roman" w:cs="Times New Roman"/>
          <w:szCs w:val="24"/>
        </w:rPr>
        <w:t>regard</w:t>
      </w:r>
      <w:r w:rsidRPr="00600AFD">
        <w:rPr>
          <w:rFonts w:ascii="Times New Roman" w:hAnsi="Times New Roman" w:cs="Times New Roman"/>
          <w:szCs w:val="24"/>
        </w:rPr>
        <w:t>, the Strategy is in line with the relevant strategic documents</w:t>
      </w:r>
      <w:r w:rsidR="00DA3AE9" w:rsidRPr="00600AFD">
        <w:rPr>
          <w:rFonts w:ascii="Times New Roman" w:hAnsi="Times New Roman" w:cs="Times New Roman"/>
          <w:szCs w:val="24"/>
        </w:rPr>
        <w:t xml:space="preserve"> and in accordance </w:t>
      </w:r>
      <w:r w:rsidR="00C6578F" w:rsidRPr="00600AFD">
        <w:rPr>
          <w:rFonts w:ascii="Times New Roman" w:hAnsi="Times New Roman" w:cs="Times New Roman"/>
          <w:szCs w:val="24"/>
        </w:rPr>
        <w:t>with</w:t>
      </w:r>
      <w:r w:rsidR="00DA3AE9" w:rsidRPr="00600AFD">
        <w:rPr>
          <w:rFonts w:ascii="Times New Roman" w:hAnsi="Times New Roman" w:cs="Times New Roman"/>
          <w:szCs w:val="24"/>
        </w:rPr>
        <w:t xml:space="preserve"> </w:t>
      </w:r>
      <w:r w:rsidRPr="00600AFD">
        <w:rPr>
          <w:rFonts w:ascii="Times New Roman" w:hAnsi="Times New Roman" w:cs="Times New Roman"/>
          <w:szCs w:val="24"/>
        </w:rPr>
        <w:t xml:space="preserve">the principles </w:t>
      </w:r>
      <w:r w:rsidR="00DA3AE9" w:rsidRPr="00600AFD">
        <w:rPr>
          <w:rFonts w:ascii="Times New Roman" w:hAnsi="Times New Roman" w:cs="Times New Roman"/>
          <w:szCs w:val="24"/>
        </w:rPr>
        <w:t>stipulated</w:t>
      </w:r>
      <w:r w:rsidRPr="00600AFD">
        <w:rPr>
          <w:rFonts w:ascii="Times New Roman" w:hAnsi="Times New Roman" w:cs="Times New Roman"/>
          <w:szCs w:val="24"/>
        </w:rPr>
        <w:t xml:space="preserve"> in the Law on the Planning System of the Republic of Serbia.</w:t>
      </w:r>
      <w:r w:rsidR="00C6578F" w:rsidRPr="00600AFD">
        <w:rPr>
          <w:rStyle w:val="FootnoteReference"/>
          <w:rFonts w:ascii="Times New Roman" w:hAnsi="Times New Roman" w:cs="Times New Roman"/>
          <w:szCs w:val="24"/>
        </w:rPr>
        <w:footnoteReference w:id="12"/>
      </w:r>
    </w:p>
    <w:p w14:paraId="4D68CB7A" w14:textId="0CB3C19E" w:rsidR="00411894" w:rsidRPr="00600AFD" w:rsidRDefault="00344EE1" w:rsidP="00344EE1">
      <w:pPr>
        <w:spacing w:line="276" w:lineRule="auto"/>
        <w:rPr>
          <w:rFonts w:ascii="Times New Roman" w:hAnsi="Times New Roman" w:cs="Times New Roman"/>
          <w:szCs w:val="24"/>
        </w:rPr>
      </w:pPr>
      <w:r w:rsidRPr="00600AFD">
        <w:rPr>
          <w:rFonts w:ascii="Times New Roman" w:hAnsi="Times New Roman" w:cs="Times New Roman"/>
          <w:szCs w:val="24"/>
        </w:rPr>
        <w:t xml:space="preserve">On the other hand, documents prepared in the process of accession negotiations of the Republic of Serbia to the European Union are considered </w:t>
      </w:r>
      <w:r w:rsidR="00E451B4" w:rsidRPr="00600AFD">
        <w:rPr>
          <w:rFonts w:ascii="Times New Roman" w:hAnsi="Times New Roman" w:cs="Times New Roman"/>
          <w:szCs w:val="24"/>
        </w:rPr>
        <w:t>to be</w:t>
      </w:r>
      <w:r w:rsidRPr="00600AFD">
        <w:rPr>
          <w:rFonts w:ascii="Times New Roman" w:hAnsi="Times New Roman" w:cs="Times New Roman"/>
          <w:szCs w:val="24"/>
        </w:rPr>
        <w:t xml:space="preserve"> a special type of planning documents and are drafted in accordance with the legal framework for conducting accession negotiations, </w:t>
      </w:r>
      <w:r w:rsidR="00E8448E" w:rsidRPr="00600AFD">
        <w:rPr>
          <w:rFonts w:ascii="Times New Roman" w:hAnsi="Times New Roman" w:cs="Times New Roman"/>
          <w:szCs w:val="24"/>
        </w:rPr>
        <w:t>i.e.</w:t>
      </w:r>
      <w:r w:rsidRPr="00600AFD">
        <w:rPr>
          <w:rFonts w:ascii="Times New Roman" w:hAnsi="Times New Roman" w:cs="Times New Roman"/>
          <w:szCs w:val="24"/>
        </w:rPr>
        <w:t xml:space="preserve"> in </w:t>
      </w:r>
      <w:r w:rsidR="002C2D1B" w:rsidRPr="00600AFD">
        <w:rPr>
          <w:rFonts w:ascii="Times New Roman" w:hAnsi="Times New Roman" w:cs="Times New Roman"/>
          <w:szCs w:val="24"/>
        </w:rPr>
        <w:t xml:space="preserve">a </w:t>
      </w:r>
      <w:r w:rsidRPr="00600AFD">
        <w:rPr>
          <w:rFonts w:ascii="Times New Roman" w:hAnsi="Times New Roman" w:cs="Times New Roman"/>
          <w:szCs w:val="24"/>
        </w:rPr>
        <w:t xml:space="preserve">form, </w:t>
      </w:r>
      <w:r w:rsidR="002C2D1B" w:rsidRPr="00600AFD">
        <w:rPr>
          <w:rFonts w:ascii="Times New Roman" w:hAnsi="Times New Roman" w:cs="Times New Roman"/>
          <w:szCs w:val="24"/>
        </w:rPr>
        <w:t xml:space="preserve">with the </w:t>
      </w:r>
      <w:r w:rsidRPr="00600AFD">
        <w:rPr>
          <w:rFonts w:ascii="Times New Roman" w:hAnsi="Times New Roman" w:cs="Times New Roman"/>
          <w:szCs w:val="24"/>
        </w:rPr>
        <w:t xml:space="preserve">content, </w:t>
      </w:r>
      <w:r w:rsidR="00965C92" w:rsidRPr="00600AFD">
        <w:rPr>
          <w:rFonts w:ascii="Times New Roman" w:hAnsi="Times New Roman" w:cs="Times New Roman"/>
          <w:szCs w:val="24"/>
        </w:rPr>
        <w:t xml:space="preserve">in the </w:t>
      </w:r>
      <w:r w:rsidRPr="00600AFD">
        <w:rPr>
          <w:rFonts w:ascii="Times New Roman" w:hAnsi="Times New Roman" w:cs="Times New Roman"/>
          <w:szCs w:val="24"/>
        </w:rPr>
        <w:t xml:space="preserve">procedure and </w:t>
      </w:r>
      <w:r w:rsidR="00965C92" w:rsidRPr="00600AFD">
        <w:rPr>
          <w:rFonts w:ascii="Times New Roman" w:hAnsi="Times New Roman" w:cs="Times New Roman"/>
          <w:szCs w:val="24"/>
        </w:rPr>
        <w:t xml:space="preserve">within the </w:t>
      </w:r>
      <w:r w:rsidRPr="00600AFD">
        <w:rPr>
          <w:rFonts w:ascii="Times New Roman" w:hAnsi="Times New Roman" w:cs="Times New Roman"/>
          <w:szCs w:val="24"/>
        </w:rPr>
        <w:t>deadlines provided by methodological recommendations</w:t>
      </w:r>
      <w:r w:rsidR="00965C92" w:rsidRPr="00600AFD">
        <w:rPr>
          <w:rFonts w:ascii="Times New Roman" w:hAnsi="Times New Roman" w:cs="Times New Roman"/>
          <w:szCs w:val="24"/>
        </w:rPr>
        <w:t xml:space="preserve"> of</w:t>
      </w:r>
      <w:r w:rsidRPr="00600AFD">
        <w:rPr>
          <w:rFonts w:ascii="Times New Roman" w:hAnsi="Times New Roman" w:cs="Times New Roman"/>
          <w:szCs w:val="24"/>
        </w:rPr>
        <w:t xml:space="preserve"> EC, and in </w:t>
      </w:r>
      <w:r w:rsidR="00DA08FA" w:rsidRPr="00600AFD">
        <w:rPr>
          <w:rFonts w:ascii="Times New Roman" w:hAnsi="Times New Roman" w:cs="Times New Roman"/>
          <w:szCs w:val="24"/>
        </w:rPr>
        <w:t xml:space="preserve">compliance </w:t>
      </w:r>
      <w:r w:rsidRPr="00600AFD">
        <w:rPr>
          <w:rFonts w:ascii="Times New Roman" w:hAnsi="Times New Roman" w:cs="Times New Roman"/>
          <w:szCs w:val="24"/>
        </w:rPr>
        <w:t>with the needs arising from the accession process</w:t>
      </w:r>
      <w:r w:rsidR="00E451B4" w:rsidRPr="00600AFD">
        <w:rPr>
          <w:rFonts w:ascii="Times New Roman" w:hAnsi="Times New Roman" w:cs="Times New Roman"/>
          <w:szCs w:val="24"/>
        </w:rPr>
        <w:t>. T</w:t>
      </w:r>
      <w:r w:rsidRPr="00600AFD">
        <w:rPr>
          <w:rFonts w:ascii="Times New Roman" w:hAnsi="Times New Roman" w:cs="Times New Roman"/>
          <w:szCs w:val="24"/>
        </w:rPr>
        <w:t>herefore</w:t>
      </w:r>
      <w:r w:rsidR="00E451B4" w:rsidRPr="00600AFD">
        <w:rPr>
          <w:rFonts w:ascii="Times New Roman" w:hAnsi="Times New Roman" w:cs="Times New Roman"/>
          <w:szCs w:val="24"/>
        </w:rPr>
        <w:t>, these documents may</w:t>
      </w:r>
      <w:r w:rsidRPr="00600AFD">
        <w:rPr>
          <w:rFonts w:ascii="Times New Roman" w:hAnsi="Times New Roman" w:cs="Times New Roman"/>
          <w:szCs w:val="24"/>
        </w:rPr>
        <w:t xml:space="preserve"> contain </w:t>
      </w:r>
      <w:r w:rsidR="00882FE7" w:rsidRPr="00600AFD">
        <w:rPr>
          <w:rFonts w:ascii="Times New Roman" w:hAnsi="Times New Roman" w:cs="Times New Roman"/>
          <w:szCs w:val="24"/>
        </w:rPr>
        <w:t>additional specific</w:t>
      </w:r>
      <w:r w:rsidRPr="00600AFD">
        <w:rPr>
          <w:rFonts w:ascii="Times New Roman" w:hAnsi="Times New Roman" w:cs="Times New Roman"/>
          <w:szCs w:val="24"/>
        </w:rPr>
        <w:t xml:space="preserve"> elements </w:t>
      </w:r>
      <w:r w:rsidR="00882FE7" w:rsidRPr="00600AFD">
        <w:rPr>
          <w:rFonts w:ascii="Times New Roman" w:hAnsi="Times New Roman" w:cs="Times New Roman"/>
          <w:szCs w:val="24"/>
        </w:rPr>
        <w:t xml:space="preserve">which are </w:t>
      </w:r>
      <w:r w:rsidRPr="00600AFD">
        <w:rPr>
          <w:rFonts w:ascii="Times New Roman" w:hAnsi="Times New Roman" w:cs="Times New Roman"/>
          <w:szCs w:val="24"/>
        </w:rPr>
        <w:t>not prescribed by the Law on the Planning System of the Republic of Serbia.</w:t>
      </w:r>
    </w:p>
    <w:p w14:paraId="1085DC99" w14:textId="75E04CE0" w:rsidR="00D23278" w:rsidRPr="00600AFD" w:rsidRDefault="00D23278" w:rsidP="00F40D25">
      <w:pPr>
        <w:pStyle w:val="Heading1"/>
        <w:numPr>
          <w:ilvl w:val="0"/>
          <w:numId w:val="29"/>
        </w:numPr>
        <w:rPr>
          <w:rFonts w:ascii="Times New Roman" w:hAnsi="Times New Roman"/>
          <w:sz w:val="24"/>
        </w:rPr>
      </w:pPr>
      <w:bookmarkStart w:id="3" w:name="_Toc39707746"/>
      <w:r w:rsidRPr="00600AFD">
        <w:rPr>
          <w:rFonts w:ascii="Times New Roman" w:hAnsi="Times New Roman"/>
          <w:sz w:val="24"/>
        </w:rPr>
        <w:t>CURRENT SITUATION REGARDING JUDICIAL REFORMS</w:t>
      </w:r>
      <w:bookmarkEnd w:id="3"/>
      <w:r w:rsidR="00916942" w:rsidRPr="00600AFD">
        <w:rPr>
          <w:rFonts w:ascii="Times New Roman" w:hAnsi="Times New Roman"/>
          <w:sz w:val="24"/>
        </w:rPr>
        <w:t xml:space="preserve"> </w:t>
      </w:r>
    </w:p>
    <w:p w14:paraId="5DCB5F2B" w14:textId="6F348BBC" w:rsidR="00F80F24" w:rsidRPr="00600AFD" w:rsidRDefault="003A1A7A" w:rsidP="009B0647">
      <w:pPr>
        <w:spacing w:line="276" w:lineRule="auto"/>
        <w:rPr>
          <w:rFonts w:ascii="Times New Roman" w:hAnsi="Times New Roman" w:cs="Times New Roman"/>
          <w:szCs w:val="24"/>
        </w:rPr>
      </w:pPr>
      <w:r w:rsidRPr="00600AFD">
        <w:rPr>
          <w:rFonts w:ascii="Times New Roman" w:hAnsi="Times New Roman" w:cs="Times New Roman"/>
          <w:szCs w:val="24"/>
        </w:rPr>
        <w:t>The beginning of more extensive reform</w:t>
      </w:r>
      <w:r w:rsidR="00292AF4" w:rsidRPr="00600AFD">
        <w:rPr>
          <w:rFonts w:ascii="Times New Roman" w:hAnsi="Times New Roman" w:cs="Times New Roman"/>
          <w:szCs w:val="24"/>
        </w:rPr>
        <w:t xml:space="preserve"> </w:t>
      </w:r>
      <w:r w:rsidRPr="00600AFD">
        <w:rPr>
          <w:rFonts w:ascii="Times New Roman" w:hAnsi="Times New Roman" w:cs="Times New Roman"/>
          <w:szCs w:val="24"/>
        </w:rPr>
        <w:t xml:space="preserve">activities in the field of judiciary in the Republic of Serbia </w:t>
      </w:r>
      <w:r w:rsidR="007E159B" w:rsidRPr="00600AFD">
        <w:rPr>
          <w:rFonts w:ascii="Times New Roman" w:hAnsi="Times New Roman" w:cs="Times New Roman"/>
          <w:szCs w:val="24"/>
        </w:rPr>
        <w:t>pertains to the National Judicial Reform Strategy for the 2006</w:t>
      </w:r>
      <w:r w:rsidR="000F3999">
        <w:rPr>
          <w:rFonts w:ascii="Times New Roman" w:hAnsi="Times New Roman" w:cs="Times New Roman"/>
          <w:szCs w:val="24"/>
        </w:rPr>
        <w:t>–</w:t>
      </w:r>
      <w:r w:rsidR="007E159B" w:rsidRPr="00600AFD">
        <w:rPr>
          <w:rFonts w:ascii="Times New Roman" w:hAnsi="Times New Roman" w:cs="Times New Roman"/>
          <w:szCs w:val="24"/>
        </w:rPr>
        <w:t>2011 period</w:t>
      </w:r>
      <w:r w:rsidR="000E463A" w:rsidRPr="00600AFD">
        <w:rPr>
          <w:rFonts w:ascii="Times New Roman" w:hAnsi="Times New Roman" w:cs="Times New Roman"/>
          <w:szCs w:val="24"/>
        </w:rPr>
        <w:t xml:space="preserve">, </w:t>
      </w:r>
      <w:r w:rsidR="00292AF4" w:rsidRPr="00600AFD">
        <w:rPr>
          <w:rFonts w:ascii="Times New Roman" w:hAnsi="Times New Roman" w:cs="Times New Roman"/>
          <w:szCs w:val="24"/>
        </w:rPr>
        <w:t>the</w:t>
      </w:r>
      <w:r w:rsidR="000E463A" w:rsidRPr="00600AFD">
        <w:rPr>
          <w:rFonts w:ascii="Times New Roman" w:hAnsi="Times New Roman" w:cs="Times New Roman"/>
          <w:szCs w:val="24"/>
        </w:rPr>
        <w:t xml:space="preserve"> implementation </w:t>
      </w:r>
      <w:r w:rsidR="00292AF4" w:rsidRPr="00600AFD">
        <w:rPr>
          <w:rFonts w:ascii="Times New Roman" w:hAnsi="Times New Roman" w:cs="Times New Roman"/>
          <w:szCs w:val="24"/>
        </w:rPr>
        <w:t xml:space="preserve">of which </w:t>
      </w:r>
      <w:r w:rsidR="000E463A" w:rsidRPr="00600AFD">
        <w:rPr>
          <w:rFonts w:ascii="Times New Roman" w:hAnsi="Times New Roman" w:cs="Times New Roman"/>
          <w:szCs w:val="24"/>
        </w:rPr>
        <w:t>resulted in</w:t>
      </w:r>
      <w:r w:rsidR="00292AF4" w:rsidRPr="00600AFD">
        <w:rPr>
          <w:rFonts w:ascii="Times New Roman" w:hAnsi="Times New Roman" w:cs="Times New Roman"/>
          <w:szCs w:val="24"/>
        </w:rPr>
        <w:t xml:space="preserve"> the</w:t>
      </w:r>
      <w:r w:rsidR="000E463A" w:rsidRPr="00600AFD">
        <w:rPr>
          <w:rFonts w:ascii="Times New Roman" w:hAnsi="Times New Roman" w:cs="Times New Roman"/>
          <w:szCs w:val="24"/>
        </w:rPr>
        <w:t xml:space="preserve"> establishment </w:t>
      </w:r>
      <w:r w:rsidR="008B06C7" w:rsidRPr="00600AFD">
        <w:rPr>
          <w:rFonts w:ascii="Times New Roman" w:hAnsi="Times New Roman" w:cs="Times New Roman"/>
          <w:szCs w:val="24"/>
        </w:rPr>
        <w:t xml:space="preserve">of a legal and institutional framework </w:t>
      </w:r>
      <w:r w:rsidR="0061522D" w:rsidRPr="00600AFD">
        <w:rPr>
          <w:rFonts w:ascii="Times New Roman" w:hAnsi="Times New Roman" w:cs="Times New Roman"/>
          <w:szCs w:val="24"/>
        </w:rPr>
        <w:t>for the judiciary, as well as</w:t>
      </w:r>
      <w:r w:rsidR="00292AF4" w:rsidRPr="00600AFD">
        <w:rPr>
          <w:rFonts w:ascii="Times New Roman" w:hAnsi="Times New Roman" w:cs="Times New Roman"/>
          <w:szCs w:val="24"/>
        </w:rPr>
        <w:t xml:space="preserve"> in certain</w:t>
      </w:r>
      <w:r w:rsidR="0061522D" w:rsidRPr="00600AFD">
        <w:rPr>
          <w:rFonts w:ascii="Times New Roman" w:hAnsi="Times New Roman" w:cs="Times New Roman"/>
          <w:szCs w:val="24"/>
        </w:rPr>
        <w:t xml:space="preserve"> shortcomings</w:t>
      </w:r>
      <w:r w:rsidR="00916942" w:rsidRPr="00600AFD">
        <w:rPr>
          <w:rFonts w:ascii="Times New Roman" w:hAnsi="Times New Roman" w:cs="Times New Roman"/>
          <w:szCs w:val="24"/>
        </w:rPr>
        <w:t>,</w:t>
      </w:r>
      <w:r w:rsidR="0061522D" w:rsidRPr="00600AFD">
        <w:rPr>
          <w:rFonts w:ascii="Times New Roman" w:hAnsi="Times New Roman" w:cs="Times New Roman"/>
          <w:szCs w:val="24"/>
        </w:rPr>
        <w:t xml:space="preserve"> </w:t>
      </w:r>
      <w:r w:rsidR="00292AF4" w:rsidRPr="00600AFD">
        <w:rPr>
          <w:rFonts w:ascii="Times New Roman" w:hAnsi="Times New Roman" w:cs="Times New Roman"/>
          <w:szCs w:val="24"/>
        </w:rPr>
        <w:t>the</w:t>
      </w:r>
      <w:r w:rsidR="0061522D" w:rsidRPr="00600AFD">
        <w:rPr>
          <w:rFonts w:ascii="Times New Roman" w:hAnsi="Times New Roman" w:cs="Times New Roman"/>
          <w:szCs w:val="24"/>
        </w:rPr>
        <w:t xml:space="preserve"> </w:t>
      </w:r>
      <w:r w:rsidR="00D05DE9" w:rsidRPr="00600AFD">
        <w:rPr>
          <w:rFonts w:ascii="Times New Roman" w:hAnsi="Times New Roman" w:cs="Times New Roman"/>
          <w:szCs w:val="24"/>
        </w:rPr>
        <w:t xml:space="preserve">ramifications </w:t>
      </w:r>
      <w:r w:rsidR="00292AF4" w:rsidRPr="00600AFD">
        <w:rPr>
          <w:rFonts w:ascii="Times New Roman" w:hAnsi="Times New Roman" w:cs="Times New Roman"/>
          <w:szCs w:val="24"/>
        </w:rPr>
        <w:t xml:space="preserve">of which </w:t>
      </w:r>
      <w:r w:rsidR="00D05DE9" w:rsidRPr="00600AFD">
        <w:rPr>
          <w:rFonts w:ascii="Times New Roman" w:hAnsi="Times New Roman" w:cs="Times New Roman"/>
          <w:szCs w:val="24"/>
        </w:rPr>
        <w:t xml:space="preserve">are </w:t>
      </w:r>
      <w:r w:rsidR="0017116E" w:rsidRPr="00600AFD">
        <w:rPr>
          <w:rFonts w:ascii="Times New Roman" w:hAnsi="Times New Roman" w:cs="Times New Roman"/>
          <w:szCs w:val="24"/>
        </w:rPr>
        <w:t xml:space="preserve">still </w:t>
      </w:r>
      <w:r w:rsidR="00357548" w:rsidRPr="00600AFD">
        <w:rPr>
          <w:rFonts w:ascii="Times New Roman" w:hAnsi="Times New Roman" w:cs="Times New Roman"/>
          <w:szCs w:val="24"/>
        </w:rPr>
        <w:t xml:space="preserve">being felt to date. </w:t>
      </w:r>
      <w:r w:rsidR="00A53C76" w:rsidRPr="00600AFD">
        <w:rPr>
          <w:rFonts w:ascii="Times New Roman" w:hAnsi="Times New Roman" w:cs="Times New Roman"/>
          <w:szCs w:val="24"/>
        </w:rPr>
        <w:t xml:space="preserve">This </w:t>
      </w:r>
      <w:r w:rsidR="007024A7" w:rsidRPr="00600AFD">
        <w:rPr>
          <w:rFonts w:ascii="Times New Roman" w:hAnsi="Times New Roman" w:cs="Times New Roman"/>
          <w:szCs w:val="24"/>
        </w:rPr>
        <w:t xml:space="preserve">was primarily </w:t>
      </w:r>
      <w:r w:rsidR="00A53C76" w:rsidRPr="00600AFD">
        <w:rPr>
          <w:rFonts w:ascii="Times New Roman" w:hAnsi="Times New Roman" w:cs="Times New Roman"/>
          <w:szCs w:val="24"/>
        </w:rPr>
        <w:t xml:space="preserve">related </w:t>
      </w:r>
      <w:r w:rsidR="00A90B13" w:rsidRPr="00600AFD">
        <w:rPr>
          <w:rFonts w:ascii="Times New Roman" w:hAnsi="Times New Roman" w:cs="Times New Roman"/>
          <w:szCs w:val="24"/>
        </w:rPr>
        <w:t xml:space="preserve">to </w:t>
      </w:r>
      <w:r w:rsidR="007024A7" w:rsidRPr="00600AFD">
        <w:rPr>
          <w:rFonts w:ascii="Times New Roman" w:hAnsi="Times New Roman" w:cs="Times New Roman"/>
          <w:szCs w:val="24"/>
        </w:rPr>
        <w:t xml:space="preserve">the </w:t>
      </w:r>
      <w:r w:rsidR="00A90B13" w:rsidRPr="00600AFD">
        <w:rPr>
          <w:rFonts w:ascii="Times New Roman" w:hAnsi="Times New Roman" w:cs="Times New Roman"/>
          <w:szCs w:val="24"/>
        </w:rPr>
        <w:t>re</w:t>
      </w:r>
      <w:r w:rsidR="000F3999">
        <w:rPr>
          <w:rFonts w:ascii="Times New Roman" w:hAnsi="Times New Roman" w:cs="Times New Roman"/>
          <w:szCs w:val="24"/>
        </w:rPr>
        <w:t>–</w:t>
      </w:r>
      <w:r w:rsidR="00A90B13" w:rsidRPr="00600AFD">
        <w:rPr>
          <w:rFonts w:ascii="Times New Roman" w:hAnsi="Times New Roman" w:cs="Times New Roman"/>
          <w:szCs w:val="24"/>
        </w:rPr>
        <w:t>election of judges and public prosecutors in 2009</w:t>
      </w:r>
      <w:r w:rsidR="00E94E70" w:rsidRPr="00600AFD">
        <w:rPr>
          <w:rFonts w:ascii="Times New Roman" w:hAnsi="Times New Roman" w:cs="Times New Roman"/>
          <w:szCs w:val="24"/>
        </w:rPr>
        <w:t>,</w:t>
      </w:r>
      <w:r w:rsidR="00A90B13" w:rsidRPr="00600AFD">
        <w:rPr>
          <w:rFonts w:ascii="Times New Roman" w:hAnsi="Times New Roman" w:cs="Times New Roman"/>
          <w:szCs w:val="24"/>
        </w:rPr>
        <w:t xml:space="preserve"> which </w:t>
      </w:r>
      <w:r w:rsidR="00A033E6" w:rsidRPr="00600AFD">
        <w:rPr>
          <w:rFonts w:ascii="Times New Roman" w:hAnsi="Times New Roman" w:cs="Times New Roman"/>
          <w:szCs w:val="24"/>
        </w:rPr>
        <w:t>was carried out in a non</w:t>
      </w:r>
      <w:r w:rsidR="000F3999">
        <w:rPr>
          <w:rFonts w:ascii="Times New Roman" w:hAnsi="Times New Roman" w:cs="Times New Roman"/>
          <w:szCs w:val="24"/>
        </w:rPr>
        <w:t>–</w:t>
      </w:r>
      <w:r w:rsidR="00A033E6" w:rsidRPr="00600AFD">
        <w:rPr>
          <w:rFonts w:ascii="Times New Roman" w:hAnsi="Times New Roman" w:cs="Times New Roman"/>
          <w:szCs w:val="24"/>
        </w:rPr>
        <w:t xml:space="preserve">transparent </w:t>
      </w:r>
      <w:r w:rsidR="00202998" w:rsidRPr="00600AFD">
        <w:rPr>
          <w:rFonts w:ascii="Times New Roman" w:hAnsi="Times New Roman" w:cs="Times New Roman"/>
          <w:szCs w:val="24"/>
        </w:rPr>
        <w:t xml:space="preserve">and unconstitutional manner. In addition, </w:t>
      </w:r>
      <w:r w:rsidR="00937E7E" w:rsidRPr="00600AFD">
        <w:rPr>
          <w:rFonts w:ascii="Times New Roman" w:hAnsi="Times New Roman" w:cs="Times New Roman"/>
          <w:szCs w:val="24"/>
        </w:rPr>
        <w:t xml:space="preserve">the </w:t>
      </w:r>
      <w:r w:rsidR="009B7E7E" w:rsidRPr="00600AFD">
        <w:rPr>
          <w:rFonts w:ascii="Times New Roman" w:hAnsi="Times New Roman" w:cs="Times New Roman"/>
          <w:szCs w:val="24"/>
        </w:rPr>
        <w:t xml:space="preserve">judicial network </w:t>
      </w:r>
      <w:r w:rsidR="00937E7E" w:rsidRPr="00600AFD">
        <w:rPr>
          <w:rFonts w:ascii="Times New Roman" w:hAnsi="Times New Roman" w:cs="Times New Roman"/>
          <w:szCs w:val="24"/>
        </w:rPr>
        <w:t xml:space="preserve">was not </w:t>
      </w:r>
      <w:r w:rsidR="00F9600F" w:rsidRPr="00600AFD">
        <w:rPr>
          <w:rFonts w:ascii="Times New Roman" w:hAnsi="Times New Roman" w:cs="Times New Roman"/>
          <w:szCs w:val="24"/>
        </w:rPr>
        <w:t xml:space="preserve">adequately </w:t>
      </w:r>
      <w:r w:rsidR="00937E7E" w:rsidRPr="00600AFD">
        <w:rPr>
          <w:rFonts w:ascii="Times New Roman" w:hAnsi="Times New Roman" w:cs="Times New Roman"/>
          <w:szCs w:val="24"/>
        </w:rPr>
        <w:lastRenderedPageBreak/>
        <w:t>assessed</w:t>
      </w:r>
      <w:r w:rsidR="00F9600F" w:rsidRPr="00600AFD">
        <w:rPr>
          <w:rFonts w:ascii="Times New Roman" w:hAnsi="Times New Roman" w:cs="Times New Roman"/>
          <w:szCs w:val="24"/>
        </w:rPr>
        <w:t>, procedural laws were not adequately amended</w:t>
      </w:r>
      <w:r w:rsidR="00DE3C85" w:rsidRPr="00600AFD">
        <w:rPr>
          <w:rFonts w:ascii="Times New Roman" w:hAnsi="Times New Roman" w:cs="Times New Roman"/>
          <w:szCs w:val="24"/>
        </w:rPr>
        <w:t xml:space="preserve">, nor was the requirement </w:t>
      </w:r>
      <w:r w:rsidR="003F0180" w:rsidRPr="00600AFD">
        <w:rPr>
          <w:rFonts w:ascii="Times New Roman" w:hAnsi="Times New Roman" w:cs="Times New Roman"/>
          <w:szCs w:val="24"/>
        </w:rPr>
        <w:t xml:space="preserve">for </w:t>
      </w:r>
      <w:r w:rsidR="00C95AC1" w:rsidRPr="00600AFD">
        <w:rPr>
          <w:rFonts w:ascii="Times New Roman" w:hAnsi="Times New Roman" w:cs="Times New Roman"/>
          <w:szCs w:val="24"/>
        </w:rPr>
        <w:t xml:space="preserve">equitable caseload </w:t>
      </w:r>
      <w:r w:rsidR="00CC4F3D" w:rsidRPr="00600AFD">
        <w:rPr>
          <w:rFonts w:ascii="Times New Roman" w:hAnsi="Times New Roman" w:cs="Times New Roman"/>
          <w:szCs w:val="24"/>
        </w:rPr>
        <w:t xml:space="preserve">burden of courts and judges </w:t>
      </w:r>
      <w:r w:rsidR="00292AF4" w:rsidRPr="00600AFD">
        <w:rPr>
          <w:rFonts w:ascii="Times New Roman" w:hAnsi="Times New Roman" w:cs="Times New Roman"/>
          <w:szCs w:val="24"/>
        </w:rPr>
        <w:t>fulfille</w:t>
      </w:r>
      <w:r w:rsidR="00ED1D1F" w:rsidRPr="00600AFD">
        <w:rPr>
          <w:rFonts w:ascii="Times New Roman" w:hAnsi="Times New Roman" w:cs="Times New Roman"/>
          <w:szCs w:val="24"/>
        </w:rPr>
        <w:t xml:space="preserve">d. </w:t>
      </w:r>
    </w:p>
    <w:p w14:paraId="5E0EEA55" w14:textId="64AB48C3" w:rsidR="00F80F24" w:rsidRPr="00600AFD" w:rsidRDefault="00ED1D1F" w:rsidP="009B0647">
      <w:pPr>
        <w:spacing w:line="276" w:lineRule="auto"/>
        <w:rPr>
          <w:rFonts w:ascii="Times New Roman" w:hAnsi="Times New Roman" w:cs="Times New Roman"/>
          <w:szCs w:val="24"/>
        </w:rPr>
      </w:pPr>
      <w:r w:rsidRPr="00600AFD">
        <w:rPr>
          <w:rFonts w:ascii="Times New Roman" w:hAnsi="Times New Roman" w:cs="Times New Roman"/>
          <w:szCs w:val="24"/>
        </w:rPr>
        <w:t>The said shortcomings</w:t>
      </w:r>
      <w:r w:rsidR="008152E2" w:rsidRPr="00600AFD">
        <w:rPr>
          <w:rFonts w:ascii="Times New Roman" w:hAnsi="Times New Roman" w:cs="Times New Roman"/>
          <w:szCs w:val="24"/>
        </w:rPr>
        <w:t xml:space="preserve"> </w:t>
      </w:r>
      <w:r w:rsidR="00625A51" w:rsidRPr="00600AFD">
        <w:rPr>
          <w:rFonts w:ascii="Times New Roman" w:hAnsi="Times New Roman" w:cs="Times New Roman"/>
          <w:szCs w:val="24"/>
        </w:rPr>
        <w:t>plagued</w:t>
      </w:r>
      <w:r w:rsidR="008152E2" w:rsidRPr="00600AFD">
        <w:rPr>
          <w:rFonts w:ascii="Times New Roman" w:hAnsi="Times New Roman" w:cs="Times New Roman"/>
          <w:szCs w:val="24"/>
        </w:rPr>
        <w:t xml:space="preserve"> the adoption of </w:t>
      </w:r>
      <w:r w:rsidR="007866E3" w:rsidRPr="00600AFD">
        <w:rPr>
          <w:rFonts w:ascii="Times New Roman" w:hAnsi="Times New Roman" w:cs="Times New Roman"/>
          <w:szCs w:val="24"/>
        </w:rPr>
        <w:t>2013</w:t>
      </w:r>
      <w:r w:rsidR="000F3999">
        <w:rPr>
          <w:rFonts w:ascii="Times New Roman" w:hAnsi="Times New Roman" w:cs="Times New Roman"/>
          <w:szCs w:val="24"/>
        </w:rPr>
        <w:t>–</w:t>
      </w:r>
      <w:r w:rsidR="007866E3" w:rsidRPr="00600AFD">
        <w:rPr>
          <w:rFonts w:ascii="Times New Roman" w:hAnsi="Times New Roman" w:cs="Times New Roman"/>
          <w:szCs w:val="24"/>
        </w:rPr>
        <w:t>2018 NJRS</w:t>
      </w:r>
      <w:r w:rsidR="00341AB9" w:rsidRPr="00600AFD">
        <w:rPr>
          <w:rFonts w:ascii="Times New Roman" w:hAnsi="Times New Roman" w:cs="Times New Roman"/>
          <w:szCs w:val="24"/>
        </w:rPr>
        <w:t>, which</w:t>
      </w:r>
      <w:r w:rsidR="005861BD" w:rsidRPr="00600AFD">
        <w:rPr>
          <w:rFonts w:ascii="Times New Roman" w:hAnsi="Times New Roman" w:cs="Times New Roman"/>
          <w:szCs w:val="24"/>
        </w:rPr>
        <w:t xml:space="preserve"> had an impact on defining </w:t>
      </w:r>
      <w:r w:rsidR="009277A9" w:rsidRPr="00600AFD">
        <w:rPr>
          <w:rFonts w:ascii="Times New Roman" w:hAnsi="Times New Roman" w:cs="Times New Roman"/>
          <w:szCs w:val="24"/>
        </w:rPr>
        <w:t xml:space="preserve">priorities and </w:t>
      </w:r>
      <w:r w:rsidR="008F0C07" w:rsidRPr="00600AFD">
        <w:rPr>
          <w:rFonts w:ascii="Times New Roman" w:hAnsi="Times New Roman" w:cs="Times New Roman"/>
          <w:szCs w:val="24"/>
        </w:rPr>
        <w:t>objective</w:t>
      </w:r>
      <w:r w:rsidR="000E25EB" w:rsidRPr="00600AFD">
        <w:rPr>
          <w:rFonts w:ascii="Times New Roman" w:hAnsi="Times New Roman" w:cs="Times New Roman"/>
          <w:szCs w:val="24"/>
        </w:rPr>
        <w:t>s</w:t>
      </w:r>
      <w:r w:rsidR="009277A9" w:rsidRPr="00600AFD">
        <w:rPr>
          <w:rFonts w:ascii="Times New Roman" w:hAnsi="Times New Roman" w:cs="Times New Roman"/>
          <w:szCs w:val="24"/>
        </w:rPr>
        <w:t xml:space="preserve"> in that strategic document</w:t>
      </w:r>
      <w:r w:rsidR="00081EFF" w:rsidRPr="00600AFD">
        <w:rPr>
          <w:rFonts w:ascii="Times New Roman" w:hAnsi="Times New Roman" w:cs="Times New Roman"/>
          <w:szCs w:val="24"/>
        </w:rPr>
        <w:t xml:space="preserve">, such as </w:t>
      </w:r>
      <w:r w:rsidR="00AD4428" w:rsidRPr="00600AFD">
        <w:rPr>
          <w:rFonts w:ascii="Times New Roman" w:hAnsi="Times New Roman" w:cs="Times New Roman"/>
          <w:szCs w:val="24"/>
        </w:rPr>
        <w:t xml:space="preserve">a requirement </w:t>
      </w:r>
      <w:r w:rsidR="00152624" w:rsidRPr="00600AFD">
        <w:rPr>
          <w:rFonts w:ascii="Times New Roman" w:hAnsi="Times New Roman" w:cs="Times New Roman"/>
          <w:szCs w:val="24"/>
        </w:rPr>
        <w:t xml:space="preserve">that judges and prosecutors </w:t>
      </w:r>
      <w:r w:rsidR="00F90608" w:rsidRPr="00600AFD">
        <w:rPr>
          <w:rFonts w:ascii="Times New Roman" w:hAnsi="Times New Roman" w:cs="Times New Roman"/>
          <w:szCs w:val="24"/>
        </w:rPr>
        <w:t xml:space="preserve">who had been subjected to </w:t>
      </w:r>
      <w:r w:rsidR="00246692" w:rsidRPr="00600AFD">
        <w:rPr>
          <w:rFonts w:ascii="Times New Roman" w:hAnsi="Times New Roman" w:cs="Times New Roman"/>
          <w:szCs w:val="24"/>
        </w:rPr>
        <w:t>(</w:t>
      </w:r>
      <w:r w:rsidR="003B04C1" w:rsidRPr="00600AFD">
        <w:rPr>
          <w:rFonts w:ascii="Times New Roman" w:hAnsi="Times New Roman" w:cs="Times New Roman"/>
          <w:szCs w:val="24"/>
        </w:rPr>
        <w:t>groundless</w:t>
      </w:r>
      <w:r w:rsidR="00251AFF" w:rsidRPr="00600AFD">
        <w:rPr>
          <w:rFonts w:ascii="Times New Roman" w:hAnsi="Times New Roman" w:cs="Times New Roman"/>
          <w:szCs w:val="24"/>
        </w:rPr>
        <w:t>) termination of office</w:t>
      </w:r>
      <w:r w:rsidR="00997BB4" w:rsidRPr="00600AFD">
        <w:rPr>
          <w:rFonts w:ascii="Times New Roman" w:hAnsi="Times New Roman" w:cs="Times New Roman"/>
          <w:szCs w:val="24"/>
        </w:rPr>
        <w:t xml:space="preserve"> return into the system, that a new court network </w:t>
      </w:r>
      <w:r w:rsidR="00473A05" w:rsidRPr="00600AFD">
        <w:rPr>
          <w:rFonts w:ascii="Times New Roman" w:hAnsi="Times New Roman" w:cs="Times New Roman"/>
          <w:szCs w:val="24"/>
        </w:rPr>
        <w:t xml:space="preserve">be established, </w:t>
      </w:r>
      <w:r w:rsidR="007657EE" w:rsidRPr="00600AFD">
        <w:rPr>
          <w:rFonts w:ascii="Times New Roman" w:hAnsi="Times New Roman" w:cs="Times New Roman"/>
          <w:szCs w:val="24"/>
        </w:rPr>
        <w:t xml:space="preserve">and </w:t>
      </w:r>
      <w:r w:rsidR="006A2195" w:rsidRPr="00600AFD">
        <w:rPr>
          <w:rFonts w:ascii="Times New Roman" w:hAnsi="Times New Roman" w:cs="Times New Roman"/>
          <w:szCs w:val="24"/>
        </w:rPr>
        <w:t xml:space="preserve">to ensure </w:t>
      </w:r>
      <w:r w:rsidR="00473A05" w:rsidRPr="00600AFD">
        <w:rPr>
          <w:rFonts w:ascii="Times New Roman" w:hAnsi="Times New Roman" w:cs="Times New Roman"/>
          <w:szCs w:val="24"/>
        </w:rPr>
        <w:t xml:space="preserve">that the </w:t>
      </w:r>
      <w:r w:rsidR="00375B92" w:rsidRPr="00600AFD">
        <w:rPr>
          <w:rFonts w:ascii="Times New Roman" w:hAnsi="Times New Roman" w:cs="Times New Roman"/>
          <w:szCs w:val="24"/>
        </w:rPr>
        <w:t xml:space="preserve">pending </w:t>
      </w:r>
      <w:r w:rsidR="00292AF4" w:rsidRPr="00600AFD">
        <w:rPr>
          <w:rFonts w:ascii="Times New Roman" w:hAnsi="Times New Roman" w:cs="Times New Roman"/>
          <w:szCs w:val="24"/>
        </w:rPr>
        <w:t>case</w:t>
      </w:r>
      <w:r w:rsidR="007F4B87" w:rsidRPr="00600AFD">
        <w:rPr>
          <w:rFonts w:ascii="Times New Roman" w:hAnsi="Times New Roman" w:cs="Times New Roman"/>
          <w:szCs w:val="24"/>
        </w:rPr>
        <w:t xml:space="preserve"> </w:t>
      </w:r>
      <w:r w:rsidR="00375B92" w:rsidRPr="00600AFD">
        <w:rPr>
          <w:rFonts w:ascii="Times New Roman" w:hAnsi="Times New Roman" w:cs="Times New Roman"/>
          <w:szCs w:val="24"/>
        </w:rPr>
        <w:t xml:space="preserve">backlog </w:t>
      </w:r>
      <w:r w:rsidR="007F4B87" w:rsidRPr="00600AFD">
        <w:rPr>
          <w:rFonts w:ascii="Times New Roman" w:hAnsi="Times New Roman" w:cs="Times New Roman"/>
          <w:szCs w:val="24"/>
        </w:rPr>
        <w:t xml:space="preserve">be reduced </w:t>
      </w:r>
      <w:r w:rsidR="007657EE" w:rsidRPr="00600AFD">
        <w:rPr>
          <w:rFonts w:ascii="Times New Roman" w:hAnsi="Times New Roman" w:cs="Times New Roman"/>
          <w:szCs w:val="24"/>
        </w:rPr>
        <w:t xml:space="preserve">as well as </w:t>
      </w:r>
      <w:r w:rsidR="00577FA5" w:rsidRPr="00600AFD">
        <w:rPr>
          <w:rFonts w:ascii="Times New Roman" w:hAnsi="Times New Roman" w:cs="Times New Roman"/>
          <w:szCs w:val="24"/>
        </w:rPr>
        <w:t>equal</w:t>
      </w:r>
      <w:r w:rsidR="00E94E70" w:rsidRPr="00600AFD">
        <w:rPr>
          <w:rFonts w:ascii="Times New Roman" w:hAnsi="Times New Roman" w:cs="Times New Roman"/>
          <w:szCs w:val="24"/>
        </w:rPr>
        <w:t>ity of</w:t>
      </w:r>
      <w:r w:rsidR="00D61E7A" w:rsidRPr="00600AFD">
        <w:rPr>
          <w:rFonts w:ascii="Times New Roman" w:hAnsi="Times New Roman" w:cs="Times New Roman"/>
          <w:szCs w:val="24"/>
        </w:rPr>
        <w:t xml:space="preserve"> caseload</w:t>
      </w:r>
      <w:r w:rsidR="00E94E70" w:rsidRPr="00600AFD">
        <w:rPr>
          <w:rFonts w:ascii="Times New Roman" w:hAnsi="Times New Roman" w:cs="Times New Roman"/>
          <w:szCs w:val="24"/>
        </w:rPr>
        <w:t>s</w:t>
      </w:r>
      <w:r w:rsidR="00292AF4" w:rsidRPr="00600AFD">
        <w:rPr>
          <w:rFonts w:ascii="Times New Roman" w:hAnsi="Times New Roman" w:cs="Times New Roman"/>
          <w:szCs w:val="24"/>
        </w:rPr>
        <w:t xml:space="preserve"> achieved</w:t>
      </w:r>
      <w:r w:rsidR="007657EE" w:rsidRPr="00600AFD">
        <w:rPr>
          <w:rFonts w:ascii="Times New Roman" w:hAnsi="Times New Roman" w:cs="Times New Roman"/>
          <w:szCs w:val="24"/>
        </w:rPr>
        <w:t xml:space="preserve">. </w:t>
      </w:r>
      <w:r w:rsidR="002834E8" w:rsidRPr="00600AFD">
        <w:rPr>
          <w:rFonts w:ascii="Times New Roman" w:hAnsi="Times New Roman" w:cs="Times New Roman"/>
          <w:szCs w:val="24"/>
        </w:rPr>
        <w:t xml:space="preserve">The application of systemic measures and establishment of </w:t>
      </w:r>
      <w:r w:rsidR="002402AF" w:rsidRPr="00600AFD">
        <w:rPr>
          <w:rFonts w:ascii="Times New Roman" w:hAnsi="Times New Roman" w:cs="Times New Roman"/>
          <w:szCs w:val="24"/>
        </w:rPr>
        <w:t xml:space="preserve">the </w:t>
      </w:r>
      <w:r w:rsidR="00755D92" w:rsidRPr="00600AFD">
        <w:rPr>
          <w:rFonts w:ascii="Times New Roman" w:hAnsi="Times New Roman" w:cs="Times New Roman"/>
          <w:szCs w:val="24"/>
        </w:rPr>
        <w:t xml:space="preserve">new court network, which started operating </w:t>
      </w:r>
      <w:r w:rsidR="00F502BE" w:rsidRPr="00600AFD">
        <w:rPr>
          <w:rFonts w:ascii="Times New Roman" w:hAnsi="Times New Roman" w:cs="Times New Roman"/>
          <w:szCs w:val="24"/>
        </w:rPr>
        <w:t xml:space="preserve">on January 1, 2014, </w:t>
      </w:r>
      <w:r w:rsidR="00A837C2" w:rsidRPr="00600AFD">
        <w:rPr>
          <w:rFonts w:ascii="Times New Roman" w:hAnsi="Times New Roman" w:cs="Times New Roman"/>
          <w:szCs w:val="24"/>
        </w:rPr>
        <w:t xml:space="preserve">created conditions necessary for </w:t>
      </w:r>
      <w:r w:rsidR="007946A2" w:rsidRPr="00600AFD">
        <w:rPr>
          <w:rFonts w:ascii="Times New Roman" w:hAnsi="Times New Roman" w:cs="Times New Roman"/>
          <w:szCs w:val="24"/>
        </w:rPr>
        <w:t xml:space="preserve">a reduction </w:t>
      </w:r>
      <w:r w:rsidR="00176003" w:rsidRPr="00600AFD">
        <w:rPr>
          <w:rFonts w:ascii="Times New Roman" w:hAnsi="Times New Roman" w:cs="Times New Roman"/>
          <w:szCs w:val="24"/>
        </w:rPr>
        <w:t>in the pending cases</w:t>
      </w:r>
      <w:r w:rsidR="00955C41" w:rsidRPr="00600AFD">
        <w:rPr>
          <w:rFonts w:ascii="Times New Roman" w:hAnsi="Times New Roman" w:cs="Times New Roman"/>
          <w:szCs w:val="24"/>
        </w:rPr>
        <w:t xml:space="preserve"> backlog</w:t>
      </w:r>
      <w:r w:rsidR="00176003" w:rsidRPr="00600AFD">
        <w:rPr>
          <w:rFonts w:ascii="Times New Roman" w:hAnsi="Times New Roman" w:cs="Times New Roman"/>
          <w:szCs w:val="24"/>
        </w:rPr>
        <w:t xml:space="preserve">, as well as a more equitable </w:t>
      </w:r>
      <w:r w:rsidR="00994B12" w:rsidRPr="00600AFD">
        <w:rPr>
          <w:rFonts w:ascii="Times New Roman" w:hAnsi="Times New Roman" w:cs="Times New Roman"/>
          <w:szCs w:val="24"/>
        </w:rPr>
        <w:t xml:space="preserve">case </w:t>
      </w:r>
      <w:r w:rsidR="00B55554" w:rsidRPr="00600AFD">
        <w:rPr>
          <w:rFonts w:ascii="Times New Roman" w:hAnsi="Times New Roman" w:cs="Times New Roman"/>
          <w:szCs w:val="24"/>
        </w:rPr>
        <w:t>distribution</w:t>
      </w:r>
      <w:r w:rsidR="00994B12" w:rsidRPr="00600AFD">
        <w:rPr>
          <w:rFonts w:ascii="Times New Roman" w:hAnsi="Times New Roman" w:cs="Times New Roman"/>
          <w:szCs w:val="24"/>
        </w:rPr>
        <w:t xml:space="preserve">. </w:t>
      </w:r>
    </w:p>
    <w:p w14:paraId="7D40A66D" w14:textId="6FDB8A14" w:rsidR="00F80F24" w:rsidRPr="00600AFD" w:rsidRDefault="00566BA0" w:rsidP="009B0647">
      <w:pPr>
        <w:spacing w:line="276" w:lineRule="auto"/>
        <w:rPr>
          <w:rFonts w:ascii="Times New Roman" w:hAnsi="Times New Roman" w:cs="Times New Roman"/>
          <w:szCs w:val="24"/>
        </w:rPr>
      </w:pPr>
      <w:r w:rsidRPr="00600AFD">
        <w:rPr>
          <w:rFonts w:ascii="Times New Roman" w:hAnsi="Times New Roman" w:cs="Times New Roman"/>
          <w:szCs w:val="24"/>
        </w:rPr>
        <w:t xml:space="preserve">Over the course of </w:t>
      </w:r>
      <w:r w:rsidR="009302BA" w:rsidRPr="00600AFD">
        <w:rPr>
          <w:rFonts w:ascii="Times New Roman" w:hAnsi="Times New Roman" w:cs="Times New Roman"/>
          <w:szCs w:val="24"/>
        </w:rPr>
        <w:t xml:space="preserve">the </w:t>
      </w:r>
      <w:r w:rsidR="007866E3" w:rsidRPr="00600AFD">
        <w:rPr>
          <w:rFonts w:ascii="Times New Roman" w:hAnsi="Times New Roman" w:cs="Times New Roman"/>
          <w:szCs w:val="24"/>
        </w:rPr>
        <w:t>2013</w:t>
      </w:r>
      <w:r w:rsidR="000F3999">
        <w:rPr>
          <w:rFonts w:ascii="Times New Roman" w:hAnsi="Times New Roman" w:cs="Times New Roman"/>
          <w:szCs w:val="24"/>
        </w:rPr>
        <w:t>–</w:t>
      </w:r>
      <w:r w:rsidR="007866E3" w:rsidRPr="00600AFD">
        <w:rPr>
          <w:rFonts w:ascii="Times New Roman" w:hAnsi="Times New Roman" w:cs="Times New Roman"/>
          <w:szCs w:val="24"/>
        </w:rPr>
        <w:t>2018 NJRS</w:t>
      </w:r>
      <w:r w:rsidR="009302BA" w:rsidRPr="00600AFD">
        <w:rPr>
          <w:rFonts w:ascii="Times New Roman" w:hAnsi="Times New Roman" w:cs="Times New Roman"/>
          <w:szCs w:val="24"/>
        </w:rPr>
        <w:t xml:space="preserve"> implementation period</w:t>
      </w:r>
      <w:r w:rsidR="00F30793" w:rsidRPr="00600AFD">
        <w:rPr>
          <w:rFonts w:ascii="Times New Roman" w:hAnsi="Times New Roman" w:cs="Times New Roman"/>
          <w:szCs w:val="24"/>
        </w:rPr>
        <w:t>, as part of measures aimed at strengthening the independence of judiciary</w:t>
      </w:r>
      <w:r w:rsidR="003F035B" w:rsidRPr="00600AFD">
        <w:rPr>
          <w:rFonts w:ascii="Times New Roman" w:hAnsi="Times New Roman" w:cs="Times New Roman"/>
          <w:szCs w:val="24"/>
        </w:rPr>
        <w:t xml:space="preserve">, </w:t>
      </w:r>
      <w:r w:rsidR="009A7F32" w:rsidRPr="00600AFD">
        <w:rPr>
          <w:rFonts w:ascii="Times New Roman" w:hAnsi="Times New Roman" w:cs="Times New Roman"/>
          <w:szCs w:val="24"/>
        </w:rPr>
        <w:t xml:space="preserve">influence </w:t>
      </w:r>
      <w:r w:rsidR="005F1E2E" w:rsidRPr="00600AFD">
        <w:rPr>
          <w:rFonts w:ascii="Times New Roman" w:hAnsi="Times New Roman" w:cs="Times New Roman"/>
          <w:szCs w:val="24"/>
        </w:rPr>
        <w:t xml:space="preserve">of the legislative authorities on the process of election of judicial office holders </w:t>
      </w:r>
      <w:r w:rsidR="0075365C" w:rsidRPr="00600AFD">
        <w:rPr>
          <w:rFonts w:ascii="Times New Roman" w:hAnsi="Times New Roman" w:cs="Times New Roman"/>
          <w:szCs w:val="24"/>
        </w:rPr>
        <w:t xml:space="preserve">was reduced </w:t>
      </w:r>
      <w:r w:rsidR="00005ADC" w:rsidRPr="00600AFD">
        <w:rPr>
          <w:rFonts w:ascii="Times New Roman" w:hAnsi="Times New Roman" w:cs="Times New Roman"/>
          <w:szCs w:val="24"/>
        </w:rPr>
        <w:t xml:space="preserve">by way of amending </w:t>
      </w:r>
      <w:r w:rsidR="0075365C" w:rsidRPr="00600AFD">
        <w:rPr>
          <w:rFonts w:ascii="Times New Roman" w:hAnsi="Times New Roman" w:cs="Times New Roman"/>
          <w:szCs w:val="24"/>
        </w:rPr>
        <w:t xml:space="preserve">a set of judicial </w:t>
      </w:r>
      <w:r w:rsidR="00005ADC" w:rsidRPr="00600AFD">
        <w:rPr>
          <w:rFonts w:ascii="Times New Roman" w:hAnsi="Times New Roman" w:cs="Times New Roman"/>
          <w:szCs w:val="24"/>
        </w:rPr>
        <w:t xml:space="preserve">laws to the extent </w:t>
      </w:r>
      <w:r w:rsidR="00AB434F" w:rsidRPr="00600AFD">
        <w:rPr>
          <w:rFonts w:ascii="Times New Roman" w:hAnsi="Times New Roman" w:cs="Times New Roman"/>
          <w:szCs w:val="24"/>
        </w:rPr>
        <w:t xml:space="preserve">permitted by the </w:t>
      </w:r>
      <w:r w:rsidR="00F624DC" w:rsidRPr="00600AFD">
        <w:rPr>
          <w:rFonts w:ascii="Times New Roman" w:hAnsi="Times New Roman" w:cs="Times New Roman"/>
          <w:szCs w:val="24"/>
        </w:rPr>
        <w:t xml:space="preserve">existing </w:t>
      </w:r>
      <w:r w:rsidR="00902465" w:rsidRPr="00600AFD">
        <w:rPr>
          <w:rFonts w:ascii="Times New Roman" w:hAnsi="Times New Roman" w:cs="Times New Roman"/>
          <w:szCs w:val="24"/>
        </w:rPr>
        <w:t>Constitution</w:t>
      </w:r>
      <w:r w:rsidR="00997F6A" w:rsidRPr="00600AFD">
        <w:rPr>
          <w:rFonts w:ascii="Times New Roman" w:hAnsi="Times New Roman" w:cs="Times New Roman"/>
          <w:szCs w:val="24"/>
        </w:rPr>
        <w:t xml:space="preserve">. </w:t>
      </w:r>
      <w:r w:rsidR="00D84D25" w:rsidRPr="00600AFD">
        <w:rPr>
          <w:rFonts w:ascii="Times New Roman" w:hAnsi="Times New Roman" w:cs="Times New Roman"/>
          <w:szCs w:val="24"/>
        </w:rPr>
        <w:t xml:space="preserve">The High </w:t>
      </w:r>
      <w:r w:rsidR="00292AF4" w:rsidRPr="00600AFD">
        <w:rPr>
          <w:rFonts w:ascii="Times New Roman" w:hAnsi="Times New Roman" w:cs="Times New Roman"/>
          <w:szCs w:val="24"/>
        </w:rPr>
        <w:t>Court</w:t>
      </w:r>
      <w:r w:rsidR="00D84D25" w:rsidRPr="00600AFD">
        <w:rPr>
          <w:rFonts w:ascii="Times New Roman" w:hAnsi="Times New Roman" w:cs="Times New Roman"/>
          <w:szCs w:val="24"/>
        </w:rPr>
        <w:t xml:space="preserve"> Council and the State Prosecutorial Council </w:t>
      </w:r>
      <w:r w:rsidR="00267124" w:rsidRPr="00600AFD">
        <w:rPr>
          <w:rFonts w:ascii="Times New Roman" w:hAnsi="Times New Roman" w:cs="Times New Roman"/>
          <w:szCs w:val="24"/>
        </w:rPr>
        <w:t>adopted necessary rulebooks specifying rules and procedures for election, promotion</w:t>
      </w:r>
      <w:r w:rsidR="00292AF4" w:rsidRPr="00600AFD">
        <w:rPr>
          <w:rFonts w:ascii="Times New Roman" w:hAnsi="Times New Roman" w:cs="Times New Roman"/>
          <w:szCs w:val="24"/>
        </w:rPr>
        <w:t>,</w:t>
      </w:r>
      <w:r w:rsidR="00267124" w:rsidRPr="00600AFD">
        <w:rPr>
          <w:rFonts w:ascii="Times New Roman" w:hAnsi="Times New Roman" w:cs="Times New Roman"/>
          <w:szCs w:val="24"/>
        </w:rPr>
        <w:t xml:space="preserve"> and </w:t>
      </w:r>
      <w:r w:rsidR="00165DAB" w:rsidRPr="00600AFD">
        <w:rPr>
          <w:rFonts w:ascii="Times New Roman" w:hAnsi="Times New Roman" w:cs="Times New Roman"/>
          <w:szCs w:val="24"/>
        </w:rPr>
        <w:t xml:space="preserve">performance </w:t>
      </w:r>
      <w:r w:rsidR="00292AF4" w:rsidRPr="00600AFD">
        <w:rPr>
          <w:rFonts w:ascii="Times New Roman" w:hAnsi="Times New Roman" w:cs="Times New Roman"/>
          <w:szCs w:val="24"/>
        </w:rPr>
        <w:t>evaluation</w:t>
      </w:r>
      <w:r w:rsidR="00CB3EA9" w:rsidRPr="00600AFD">
        <w:rPr>
          <w:rFonts w:ascii="Times New Roman" w:hAnsi="Times New Roman" w:cs="Times New Roman"/>
          <w:szCs w:val="24"/>
        </w:rPr>
        <w:t xml:space="preserve"> of judicial office holders</w:t>
      </w:r>
      <w:r w:rsidR="00165DAB" w:rsidRPr="00600AFD">
        <w:rPr>
          <w:rFonts w:ascii="Times New Roman" w:hAnsi="Times New Roman" w:cs="Times New Roman"/>
          <w:szCs w:val="24"/>
        </w:rPr>
        <w:t xml:space="preserve">, as well as the procedure </w:t>
      </w:r>
      <w:r w:rsidR="00C527B2" w:rsidRPr="00600AFD">
        <w:rPr>
          <w:rFonts w:ascii="Times New Roman" w:hAnsi="Times New Roman" w:cs="Times New Roman"/>
          <w:szCs w:val="24"/>
        </w:rPr>
        <w:t xml:space="preserve">for </w:t>
      </w:r>
      <w:r w:rsidR="008E3060" w:rsidRPr="00600AFD">
        <w:rPr>
          <w:rFonts w:ascii="Times New Roman" w:hAnsi="Times New Roman" w:cs="Times New Roman"/>
          <w:szCs w:val="24"/>
        </w:rPr>
        <w:t xml:space="preserve">determining </w:t>
      </w:r>
      <w:r w:rsidR="00B3539D" w:rsidRPr="00600AFD">
        <w:rPr>
          <w:rFonts w:ascii="Times New Roman" w:hAnsi="Times New Roman" w:cs="Times New Roman"/>
          <w:szCs w:val="24"/>
        </w:rPr>
        <w:t xml:space="preserve">disciplinary </w:t>
      </w:r>
      <w:r w:rsidR="0057765B" w:rsidRPr="00600AFD">
        <w:rPr>
          <w:rFonts w:ascii="Times New Roman" w:hAnsi="Times New Roman" w:cs="Times New Roman"/>
          <w:szCs w:val="24"/>
        </w:rPr>
        <w:t>liability</w:t>
      </w:r>
      <w:r w:rsidR="00B3539D" w:rsidRPr="00600AFD">
        <w:rPr>
          <w:rFonts w:ascii="Times New Roman" w:hAnsi="Times New Roman" w:cs="Times New Roman"/>
          <w:szCs w:val="24"/>
        </w:rPr>
        <w:t xml:space="preserve">. </w:t>
      </w:r>
    </w:p>
    <w:p w14:paraId="343DA4DA" w14:textId="28AF8F11" w:rsidR="00A43554" w:rsidRPr="00600AFD" w:rsidRDefault="0048798E" w:rsidP="009B0647">
      <w:pPr>
        <w:spacing w:line="276" w:lineRule="auto"/>
        <w:rPr>
          <w:rFonts w:ascii="Times New Roman" w:hAnsi="Times New Roman" w:cs="Times New Roman"/>
          <w:szCs w:val="24"/>
        </w:rPr>
      </w:pPr>
      <w:r w:rsidRPr="00600AFD">
        <w:rPr>
          <w:rFonts w:ascii="Times New Roman" w:hAnsi="Times New Roman" w:cs="Times New Roman"/>
          <w:szCs w:val="24"/>
        </w:rPr>
        <w:t xml:space="preserve">In the past six years, </w:t>
      </w:r>
      <w:r w:rsidR="00942EBA" w:rsidRPr="00600AFD">
        <w:rPr>
          <w:rFonts w:ascii="Times New Roman" w:hAnsi="Times New Roman" w:cs="Times New Roman"/>
          <w:szCs w:val="24"/>
        </w:rPr>
        <w:t xml:space="preserve">substantial progress </w:t>
      </w:r>
      <w:r w:rsidR="002F0339" w:rsidRPr="00600AFD">
        <w:rPr>
          <w:rFonts w:ascii="Times New Roman" w:hAnsi="Times New Roman" w:cs="Times New Roman"/>
          <w:szCs w:val="24"/>
        </w:rPr>
        <w:t xml:space="preserve">has been made in establishing greater transparency </w:t>
      </w:r>
      <w:r w:rsidR="00964100" w:rsidRPr="00600AFD">
        <w:rPr>
          <w:rFonts w:ascii="Times New Roman" w:hAnsi="Times New Roman" w:cs="Times New Roman"/>
          <w:szCs w:val="24"/>
        </w:rPr>
        <w:t xml:space="preserve">of the judicial system and access to justice, bearing in mind that </w:t>
      </w:r>
      <w:r w:rsidR="001D5B57" w:rsidRPr="00600AFD">
        <w:rPr>
          <w:rFonts w:ascii="Times New Roman" w:hAnsi="Times New Roman" w:cs="Times New Roman"/>
          <w:szCs w:val="24"/>
        </w:rPr>
        <w:t xml:space="preserve">the work </w:t>
      </w:r>
      <w:r w:rsidR="007521E1" w:rsidRPr="00600AFD">
        <w:rPr>
          <w:rFonts w:ascii="Times New Roman" w:hAnsi="Times New Roman" w:cs="Times New Roman"/>
          <w:szCs w:val="24"/>
        </w:rPr>
        <w:t xml:space="preserve">of the High </w:t>
      </w:r>
      <w:r w:rsidR="00292AF4" w:rsidRPr="00600AFD">
        <w:rPr>
          <w:rFonts w:ascii="Times New Roman" w:hAnsi="Times New Roman" w:cs="Times New Roman"/>
          <w:szCs w:val="24"/>
        </w:rPr>
        <w:t>Court</w:t>
      </w:r>
      <w:r w:rsidR="007521E1" w:rsidRPr="00600AFD">
        <w:rPr>
          <w:rFonts w:ascii="Times New Roman" w:hAnsi="Times New Roman" w:cs="Times New Roman"/>
          <w:szCs w:val="24"/>
        </w:rPr>
        <w:t xml:space="preserve"> Council and the State Prosecutorial Council </w:t>
      </w:r>
      <w:r w:rsidR="00214638" w:rsidRPr="00600AFD">
        <w:rPr>
          <w:rFonts w:ascii="Times New Roman" w:hAnsi="Times New Roman" w:cs="Times New Roman"/>
          <w:szCs w:val="24"/>
        </w:rPr>
        <w:t xml:space="preserve">has become more open </w:t>
      </w:r>
      <w:r w:rsidR="00554673" w:rsidRPr="00600AFD">
        <w:rPr>
          <w:rFonts w:ascii="Times New Roman" w:hAnsi="Times New Roman" w:cs="Times New Roman"/>
          <w:szCs w:val="24"/>
        </w:rPr>
        <w:t xml:space="preserve">to public scrutiny </w:t>
      </w:r>
      <w:r w:rsidR="00406760" w:rsidRPr="00600AFD">
        <w:rPr>
          <w:rFonts w:ascii="Times New Roman" w:hAnsi="Times New Roman" w:cs="Times New Roman"/>
          <w:szCs w:val="24"/>
        </w:rPr>
        <w:t>and thus significantly enhanced</w:t>
      </w:r>
      <w:r w:rsidR="00AA3668" w:rsidRPr="00600AFD">
        <w:rPr>
          <w:rFonts w:ascii="Times New Roman" w:hAnsi="Times New Roman" w:cs="Times New Roman"/>
          <w:szCs w:val="24"/>
        </w:rPr>
        <w:t xml:space="preserve">, and that many services for citizens </w:t>
      </w:r>
      <w:r w:rsidR="00DC6DF4" w:rsidRPr="00600AFD">
        <w:rPr>
          <w:rFonts w:ascii="Times New Roman" w:hAnsi="Times New Roman" w:cs="Times New Roman"/>
          <w:szCs w:val="24"/>
        </w:rPr>
        <w:t xml:space="preserve">that </w:t>
      </w:r>
      <w:r w:rsidR="00AA3668" w:rsidRPr="00600AFD">
        <w:rPr>
          <w:rFonts w:ascii="Times New Roman" w:hAnsi="Times New Roman" w:cs="Times New Roman"/>
          <w:szCs w:val="24"/>
        </w:rPr>
        <w:t xml:space="preserve">have been put in place </w:t>
      </w:r>
      <w:r w:rsidR="000F4019" w:rsidRPr="00600AFD">
        <w:rPr>
          <w:rFonts w:ascii="Times New Roman" w:hAnsi="Times New Roman" w:cs="Times New Roman"/>
          <w:szCs w:val="24"/>
        </w:rPr>
        <w:t xml:space="preserve">have also become more accessible </w:t>
      </w:r>
      <w:r w:rsidR="0009593A" w:rsidRPr="00600AFD">
        <w:rPr>
          <w:rFonts w:ascii="Times New Roman" w:hAnsi="Times New Roman" w:cs="Times New Roman"/>
          <w:szCs w:val="24"/>
        </w:rPr>
        <w:t>through</w:t>
      </w:r>
      <w:r w:rsidR="00C73FF5" w:rsidRPr="00600AFD">
        <w:rPr>
          <w:rFonts w:ascii="Times New Roman" w:hAnsi="Times New Roman" w:cs="Times New Roman"/>
          <w:szCs w:val="24"/>
        </w:rPr>
        <w:t xml:space="preserve"> the system </w:t>
      </w:r>
      <w:r w:rsidR="00002178" w:rsidRPr="00600AFD">
        <w:rPr>
          <w:rFonts w:ascii="Times New Roman" w:hAnsi="Times New Roman" w:cs="Times New Roman"/>
          <w:szCs w:val="24"/>
        </w:rPr>
        <w:t>of e</w:t>
      </w:r>
      <w:r w:rsidR="000F3999">
        <w:rPr>
          <w:rFonts w:ascii="Times New Roman" w:hAnsi="Times New Roman" w:cs="Times New Roman"/>
          <w:szCs w:val="24"/>
        </w:rPr>
        <w:t>–</w:t>
      </w:r>
      <w:r w:rsidR="00E94E70" w:rsidRPr="00600AFD">
        <w:rPr>
          <w:rFonts w:ascii="Times New Roman" w:hAnsi="Times New Roman" w:cs="Times New Roman"/>
          <w:szCs w:val="24"/>
        </w:rPr>
        <w:t>justice</w:t>
      </w:r>
      <w:r w:rsidR="00002178" w:rsidRPr="00600AFD">
        <w:rPr>
          <w:rFonts w:ascii="Times New Roman" w:hAnsi="Times New Roman" w:cs="Times New Roman"/>
          <w:szCs w:val="24"/>
        </w:rPr>
        <w:t xml:space="preserve">. </w:t>
      </w:r>
      <w:r w:rsidR="00292AF4" w:rsidRPr="00600AFD">
        <w:rPr>
          <w:rFonts w:ascii="Times New Roman" w:hAnsi="Times New Roman" w:cs="Times New Roman"/>
          <w:szCs w:val="24"/>
        </w:rPr>
        <w:t>D</w:t>
      </w:r>
      <w:r w:rsidR="004555D6" w:rsidRPr="00600AFD">
        <w:rPr>
          <w:rFonts w:ascii="Times New Roman" w:hAnsi="Times New Roman" w:cs="Times New Roman"/>
          <w:szCs w:val="24"/>
        </w:rPr>
        <w:t xml:space="preserve">rafting </w:t>
      </w:r>
      <w:r w:rsidR="0098697C" w:rsidRPr="00600AFD">
        <w:rPr>
          <w:rFonts w:ascii="Times New Roman" w:hAnsi="Times New Roman" w:cs="Times New Roman"/>
          <w:szCs w:val="24"/>
        </w:rPr>
        <w:t xml:space="preserve">of the National Strategy </w:t>
      </w:r>
      <w:r w:rsidR="0071169E" w:rsidRPr="00600AFD">
        <w:rPr>
          <w:rFonts w:ascii="Times New Roman" w:hAnsi="Times New Roman" w:cs="Times New Roman"/>
          <w:szCs w:val="24"/>
        </w:rPr>
        <w:t xml:space="preserve">for </w:t>
      </w:r>
      <w:r w:rsidR="00417EC7" w:rsidRPr="00600AFD">
        <w:rPr>
          <w:rFonts w:ascii="Times New Roman" w:hAnsi="Times New Roman" w:cs="Times New Roman"/>
          <w:szCs w:val="24"/>
        </w:rPr>
        <w:t xml:space="preserve">Advancement of the Rights of Victims and Witnesses to Criminal Offences </w:t>
      </w:r>
      <w:r w:rsidR="008D30EB" w:rsidRPr="00600AFD">
        <w:rPr>
          <w:rFonts w:ascii="Times New Roman" w:hAnsi="Times New Roman" w:cs="Times New Roman"/>
          <w:szCs w:val="24"/>
        </w:rPr>
        <w:t>constitute</w:t>
      </w:r>
      <w:r w:rsidR="00292AF4" w:rsidRPr="00600AFD">
        <w:rPr>
          <w:rFonts w:ascii="Times New Roman" w:hAnsi="Times New Roman" w:cs="Times New Roman"/>
          <w:szCs w:val="24"/>
        </w:rPr>
        <w:t>s an important step</w:t>
      </w:r>
      <w:r w:rsidR="008D30EB" w:rsidRPr="00600AFD">
        <w:rPr>
          <w:rFonts w:ascii="Times New Roman" w:hAnsi="Times New Roman" w:cs="Times New Roman"/>
          <w:szCs w:val="24"/>
        </w:rPr>
        <w:t xml:space="preserve"> in the field of access to justice. </w:t>
      </w:r>
      <w:r w:rsidR="005C0FA4" w:rsidRPr="00600AFD">
        <w:rPr>
          <w:rFonts w:ascii="Times New Roman" w:hAnsi="Times New Roman" w:cs="Times New Roman"/>
          <w:szCs w:val="24"/>
        </w:rPr>
        <w:t xml:space="preserve">Accessibility </w:t>
      </w:r>
      <w:r w:rsidR="00C628D7" w:rsidRPr="00600AFD">
        <w:rPr>
          <w:rFonts w:ascii="Times New Roman" w:hAnsi="Times New Roman" w:cs="Times New Roman"/>
          <w:szCs w:val="24"/>
        </w:rPr>
        <w:t xml:space="preserve">of legal regulations has been accomplished via the Administration for Joint Services of the </w:t>
      </w:r>
      <w:r w:rsidR="002F1E23" w:rsidRPr="00600AFD">
        <w:rPr>
          <w:rFonts w:ascii="Times New Roman" w:hAnsi="Times New Roman" w:cs="Times New Roman"/>
          <w:szCs w:val="24"/>
        </w:rPr>
        <w:t xml:space="preserve">Republic Bodies </w:t>
      </w:r>
      <w:r w:rsidR="00F80F24" w:rsidRPr="00600AFD">
        <w:rPr>
          <w:rFonts w:ascii="Times New Roman" w:hAnsi="Times New Roman" w:cs="Times New Roman"/>
          <w:szCs w:val="24"/>
        </w:rPr>
        <w:t>(</w:t>
      </w:r>
      <w:r w:rsidR="002F1E23" w:rsidRPr="00600AFD">
        <w:rPr>
          <w:rFonts w:ascii="Times New Roman" w:hAnsi="Times New Roman" w:cs="Times New Roman"/>
          <w:szCs w:val="24"/>
        </w:rPr>
        <w:t>AJSRB</w:t>
      </w:r>
      <w:r w:rsidR="00F80F24" w:rsidRPr="00600AFD">
        <w:rPr>
          <w:rFonts w:ascii="Times New Roman" w:hAnsi="Times New Roman" w:cs="Times New Roman"/>
          <w:szCs w:val="24"/>
        </w:rPr>
        <w:t xml:space="preserve">), </w:t>
      </w:r>
      <w:r w:rsidR="00EC13BE" w:rsidRPr="00600AFD">
        <w:rPr>
          <w:rFonts w:ascii="Times New Roman" w:hAnsi="Times New Roman" w:cs="Times New Roman"/>
          <w:szCs w:val="24"/>
        </w:rPr>
        <w:t xml:space="preserve">which </w:t>
      </w:r>
      <w:r w:rsidR="00577FA5" w:rsidRPr="00600AFD">
        <w:rPr>
          <w:rFonts w:ascii="Times New Roman" w:hAnsi="Times New Roman" w:cs="Times New Roman"/>
          <w:szCs w:val="24"/>
        </w:rPr>
        <w:t>enables</w:t>
      </w:r>
      <w:r w:rsidR="0059314E" w:rsidRPr="00600AFD">
        <w:rPr>
          <w:rFonts w:ascii="Times New Roman" w:hAnsi="Times New Roman" w:cs="Times New Roman"/>
          <w:szCs w:val="24"/>
        </w:rPr>
        <w:t xml:space="preserve"> free</w:t>
      </w:r>
      <w:r w:rsidR="000F3999">
        <w:rPr>
          <w:rFonts w:ascii="Times New Roman" w:hAnsi="Times New Roman" w:cs="Times New Roman"/>
          <w:szCs w:val="24"/>
        </w:rPr>
        <w:t>–</w:t>
      </w:r>
      <w:r w:rsidR="0059314E" w:rsidRPr="00600AFD">
        <w:rPr>
          <w:rFonts w:ascii="Times New Roman" w:hAnsi="Times New Roman" w:cs="Times New Roman"/>
          <w:szCs w:val="24"/>
        </w:rPr>
        <w:t>of</w:t>
      </w:r>
      <w:r w:rsidR="000F3999">
        <w:rPr>
          <w:rFonts w:ascii="Times New Roman" w:hAnsi="Times New Roman" w:cs="Times New Roman"/>
          <w:szCs w:val="24"/>
        </w:rPr>
        <w:t>–</w:t>
      </w:r>
      <w:r w:rsidR="0059314E" w:rsidRPr="00600AFD">
        <w:rPr>
          <w:rFonts w:ascii="Times New Roman" w:hAnsi="Times New Roman" w:cs="Times New Roman"/>
          <w:szCs w:val="24"/>
        </w:rPr>
        <w:t xml:space="preserve">charge browsing and downloads </w:t>
      </w:r>
      <w:r w:rsidR="00EE539E" w:rsidRPr="00600AFD">
        <w:rPr>
          <w:rFonts w:ascii="Times New Roman" w:hAnsi="Times New Roman" w:cs="Times New Roman"/>
          <w:szCs w:val="24"/>
        </w:rPr>
        <w:t>of all publications</w:t>
      </w:r>
      <w:r w:rsidR="0048543B" w:rsidRPr="00600AFD">
        <w:rPr>
          <w:rFonts w:ascii="Times New Roman" w:hAnsi="Times New Roman" w:cs="Times New Roman"/>
          <w:szCs w:val="24"/>
        </w:rPr>
        <w:t xml:space="preserve"> in </w:t>
      </w:r>
      <w:r w:rsidR="009C30F7" w:rsidRPr="00600AFD">
        <w:rPr>
          <w:rFonts w:ascii="Times New Roman" w:hAnsi="Times New Roman" w:cs="Times New Roman"/>
          <w:szCs w:val="24"/>
        </w:rPr>
        <w:t xml:space="preserve">the </w:t>
      </w:r>
      <w:r w:rsidR="0048543B" w:rsidRPr="00600AFD">
        <w:rPr>
          <w:rFonts w:ascii="Times New Roman" w:hAnsi="Times New Roman" w:cs="Times New Roman"/>
          <w:szCs w:val="24"/>
        </w:rPr>
        <w:t>legal regulations</w:t>
      </w:r>
      <w:r w:rsidR="00B01124" w:rsidRPr="00600AFD">
        <w:rPr>
          <w:rFonts w:ascii="Times New Roman" w:hAnsi="Times New Roman" w:cs="Times New Roman"/>
          <w:szCs w:val="24"/>
        </w:rPr>
        <w:t xml:space="preserve"> </w:t>
      </w:r>
      <w:r w:rsidR="0048543B" w:rsidRPr="00600AFD">
        <w:rPr>
          <w:rFonts w:ascii="Times New Roman" w:hAnsi="Times New Roman" w:cs="Times New Roman"/>
          <w:szCs w:val="24"/>
        </w:rPr>
        <w:t>database disaggregat</w:t>
      </w:r>
      <w:r w:rsidR="00845E61" w:rsidRPr="00600AFD">
        <w:rPr>
          <w:rFonts w:ascii="Times New Roman" w:hAnsi="Times New Roman" w:cs="Times New Roman"/>
          <w:szCs w:val="24"/>
        </w:rPr>
        <w:t>e</w:t>
      </w:r>
      <w:r w:rsidR="0048543B" w:rsidRPr="00600AFD">
        <w:rPr>
          <w:rFonts w:ascii="Times New Roman" w:hAnsi="Times New Roman" w:cs="Times New Roman"/>
          <w:szCs w:val="24"/>
        </w:rPr>
        <w:t>d in</w:t>
      </w:r>
      <w:r w:rsidR="00BF673A" w:rsidRPr="00600AFD">
        <w:rPr>
          <w:rFonts w:ascii="Times New Roman" w:hAnsi="Times New Roman" w:cs="Times New Roman"/>
          <w:szCs w:val="24"/>
        </w:rPr>
        <w:t>to</w:t>
      </w:r>
      <w:r w:rsidR="0048543B" w:rsidRPr="00600AFD">
        <w:rPr>
          <w:rFonts w:ascii="Times New Roman" w:hAnsi="Times New Roman" w:cs="Times New Roman"/>
          <w:szCs w:val="24"/>
        </w:rPr>
        <w:t xml:space="preserve"> 28 categories </w:t>
      </w:r>
      <w:r w:rsidR="002B5656" w:rsidRPr="00600AFD">
        <w:rPr>
          <w:rFonts w:ascii="Times New Roman" w:hAnsi="Times New Roman" w:cs="Times New Roman"/>
          <w:szCs w:val="24"/>
        </w:rPr>
        <w:t xml:space="preserve">on its web site. </w:t>
      </w:r>
      <w:r w:rsidR="00577FA5" w:rsidRPr="00600AFD">
        <w:rPr>
          <w:rFonts w:ascii="Times New Roman" w:hAnsi="Times New Roman" w:cs="Times New Roman"/>
          <w:szCs w:val="24"/>
        </w:rPr>
        <w:t>The Law on Free Legal Aid has also been adopted.</w:t>
      </w:r>
    </w:p>
    <w:p w14:paraId="3BE9FF69" w14:textId="77777777" w:rsidR="00F80F24" w:rsidRPr="00600AFD" w:rsidRDefault="00CB5E5A" w:rsidP="009B0647">
      <w:pPr>
        <w:spacing w:line="276" w:lineRule="auto"/>
        <w:rPr>
          <w:rFonts w:ascii="Times New Roman" w:hAnsi="Times New Roman" w:cs="Times New Roman"/>
          <w:szCs w:val="24"/>
        </w:rPr>
      </w:pPr>
      <w:r w:rsidRPr="00600AFD">
        <w:rPr>
          <w:rFonts w:ascii="Times New Roman" w:hAnsi="Times New Roman" w:cs="Times New Roman"/>
          <w:szCs w:val="24"/>
        </w:rPr>
        <w:t xml:space="preserve">Accessibility </w:t>
      </w:r>
      <w:r w:rsidR="003667A6" w:rsidRPr="00600AFD">
        <w:rPr>
          <w:rFonts w:ascii="Times New Roman" w:hAnsi="Times New Roman" w:cs="Times New Roman"/>
          <w:szCs w:val="24"/>
        </w:rPr>
        <w:t>of case law has been</w:t>
      </w:r>
      <w:r w:rsidR="00BF673A" w:rsidRPr="00600AFD">
        <w:rPr>
          <w:rFonts w:ascii="Times New Roman" w:hAnsi="Times New Roman" w:cs="Times New Roman"/>
          <w:szCs w:val="24"/>
        </w:rPr>
        <w:t xml:space="preserve"> partially achieved</w:t>
      </w:r>
      <w:r w:rsidR="008E6958" w:rsidRPr="00600AFD">
        <w:rPr>
          <w:rFonts w:ascii="Times New Roman" w:hAnsi="Times New Roman" w:cs="Times New Roman"/>
          <w:szCs w:val="24"/>
        </w:rPr>
        <w:t xml:space="preserve">, which is a prerequisite for </w:t>
      </w:r>
      <w:r w:rsidR="00D95C79" w:rsidRPr="00600AFD">
        <w:rPr>
          <w:rFonts w:ascii="Times New Roman" w:hAnsi="Times New Roman" w:cs="Times New Roman"/>
          <w:szCs w:val="24"/>
        </w:rPr>
        <w:t xml:space="preserve">case law </w:t>
      </w:r>
      <w:r w:rsidR="008E6958" w:rsidRPr="00600AFD">
        <w:rPr>
          <w:rFonts w:ascii="Times New Roman" w:hAnsi="Times New Roman" w:cs="Times New Roman"/>
          <w:szCs w:val="24"/>
        </w:rPr>
        <w:t>predictability</w:t>
      </w:r>
      <w:r w:rsidR="007134C1" w:rsidRPr="00600AFD">
        <w:rPr>
          <w:rFonts w:ascii="Times New Roman" w:hAnsi="Times New Roman" w:cs="Times New Roman"/>
          <w:szCs w:val="24"/>
        </w:rPr>
        <w:t xml:space="preserve"> and uniform application of </w:t>
      </w:r>
      <w:r w:rsidR="00CA5A61" w:rsidRPr="00600AFD">
        <w:rPr>
          <w:rFonts w:ascii="Times New Roman" w:hAnsi="Times New Roman" w:cs="Times New Roman"/>
          <w:szCs w:val="24"/>
        </w:rPr>
        <w:t xml:space="preserve">law. </w:t>
      </w:r>
    </w:p>
    <w:p w14:paraId="1AF82C2C" w14:textId="34D6373E" w:rsidR="00F80F24" w:rsidRPr="00600AFD" w:rsidRDefault="00E94E70" w:rsidP="009B0647">
      <w:pPr>
        <w:spacing w:line="276" w:lineRule="auto"/>
        <w:rPr>
          <w:rFonts w:ascii="Times New Roman" w:hAnsi="Times New Roman" w:cs="Times New Roman"/>
          <w:szCs w:val="24"/>
        </w:rPr>
      </w:pPr>
      <w:r w:rsidRPr="00600AFD">
        <w:rPr>
          <w:rFonts w:ascii="Times New Roman" w:hAnsi="Times New Roman" w:cs="Times New Roman"/>
          <w:szCs w:val="24"/>
        </w:rPr>
        <w:t>During</w:t>
      </w:r>
      <w:r w:rsidR="0040770E" w:rsidRPr="00600AFD">
        <w:rPr>
          <w:rFonts w:ascii="Times New Roman" w:hAnsi="Times New Roman" w:cs="Times New Roman"/>
          <w:szCs w:val="24"/>
        </w:rPr>
        <w:t xml:space="preserve"> the </w:t>
      </w:r>
      <w:r w:rsidR="007866E3" w:rsidRPr="00600AFD">
        <w:rPr>
          <w:rFonts w:ascii="Times New Roman" w:hAnsi="Times New Roman" w:cs="Times New Roman"/>
          <w:szCs w:val="24"/>
        </w:rPr>
        <w:t>2013</w:t>
      </w:r>
      <w:r w:rsidR="000F3999">
        <w:rPr>
          <w:rFonts w:ascii="Times New Roman" w:hAnsi="Times New Roman" w:cs="Times New Roman"/>
          <w:szCs w:val="24"/>
        </w:rPr>
        <w:t>–</w:t>
      </w:r>
      <w:r w:rsidR="007866E3" w:rsidRPr="00600AFD">
        <w:rPr>
          <w:rFonts w:ascii="Times New Roman" w:hAnsi="Times New Roman" w:cs="Times New Roman"/>
          <w:szCs w:val="24"/>
        </w:rPr>
        <w:t>2018 NJRS</w:t>
      </w:r>
      <w:r w:rsidR="0040770E" w:rsidRPr="00600AFD">
        <w:rPr>
          <w:rFonts w:ascii="Times New Roman" w:hAnsi="Times New Roman" w:cs="Times New Roman"/>
          <w:szCs w:val="24"/>
        </w:rPr>
        <w:t xml:space="preserve"> implementation, </w:t>
      </w:r>
      <w:r w:rsidR="00E2082B" w:rsidRPr="00600AFD">
        <w:rPr>
          <w:rFonts w:ascii="Times New Roman" w:hAnsi="Times New Roman" w:cs="Times New Roman"/>
          <w:szCs w:val="24"/>
        </w:rPr>
        <w:t xml:space="preserve">significant results were achieved </w:t>
      </w:r>
      <w:proofErr w:type="gramStart"/>
      <w:r w:rsidR="0016551B" w:rsidRPr="00600AFD">
        <w:rPr>
          <w:rFonts w:ascii="Times New Roman" w:hAnsi="Times New Roman" w:cs="Times New Roman"/>
          <w:szCs w:val="24"/>
        </w:rPr>
        <w:t>with regard to</w:t>
      </w:r>
      <w:proofErr w:type="gramEnd"/>
      <w:r w:rsidR="0016551B" w:rsidRPr="00600AFD">
        <w:rPr>
          <w:rFonts w:ascii="Times New Roman" w:hAnsi="Times New Roman" w:cs="Times New Roman"/>
          <w:szCs w:val="24"/>
        </w:rPr>
        <w:t xml:space="preserve"> </w:t>
      </w:r>
      <w:r w:rsidR="007413A9" w:rsidRPr="00600AFD">
        <w:rPr>
          <w:rFonts w:ascii="Times New Roman" w:hAnsi="Times New Roman" w:cs="Times New Roman"/>
          <w:szCs w:val="24"/>
        </w:rPr>
        <w:t xml:space="preserve">competences of judicial office holders, representatives of new judicial </w:t>
      </w:r>
      <w:r w:rsidR="00B06DAC" w:rsidRPr="00600AFD">
        <w:rPr>
          <w:rFonts w:ascii="Times New Roman" w:hAnsi="Times New Roman" w:cs="Times New Roman"/>
          <w:szCs w:val="24"/>
        </w:rPr>
        <w:t xml:space="preserve">professions, as well as many employees in the judiciary. </w:t>
      </w:r>
      <w:r w:rsidR="000068D4" w:rsidRPr="00600AFD">
        <w:rPr>
          <w:rFonts w:ascii="Times New Roman" w:hAnsi="Times New Roman" w:cs="Times New Roman"/>
          <w:szCs w:val="24"/>
        </w:rPr>
        <w:t>The entrance exam</w:t>
      </w:r>
      <w:r w:rsidR="00390F9A" w:rsidRPr="00600AFD">
        <w:rPr>
          <w:rFonts w:ascii="Times New Roman" w:hAnsi="Times New Roman" w:cs="Times New Roman"/>
          <w:szCs w:val="24"/>
        </w:rPr>
        <w:t xml:space="preserve"> </w:t>
      </w:r>
      <w:r w:rsidR="00F72914" w:rsidRPr="00600AFD">
        <w:rPr>
          <w:rFonts w:ascii="Times New Roman" w:hAnsi="Times New Roman" w:cs="Times New Roman"/>
          <w:szCs w:val="24"/>
        </w:rPr>
        <w:t xml:space="preserve">for </w:t>
      </w:r>
      <w:r w:rsidR="000068D4" w:rsidRPr="00600AFD">
        <w:rPr>
          <w:rFonts w:ascii="Times New Roman" w:hAnsi="Times New Roman" w:cs="Times New Roman"/>
          <w:szCs w:val="24"/>
        </w:rPr>
        <w:t xml:space="preserve">judicial </w:t>
      </w:r>
      <w:r w:rsidR="00F72914" w:rsidRPr="00600AFD">
        <w:rPr>
          <w:rFonts w:ascii="Times New Roman" w:hAnsi="Times New Roman" w:cs="Times New Roman"/>
          <w:szCs w:val="24"/>
        </w:rPr>
        <w:t>trainees w</w:t>
      </w:r>
      <w:r w:rsidR="000068D4" w:rsidRPr="00600AFD">
        <w:rPr>
          <w:rFonts w:ascii="Times New Roman" w:hAnsi="Times New Roman" w:cs="Times New Roman"/>
          <w:szCs w:val="24"/>
        </w:rPr>
        <w:t>as</w:t>
      </w:r>
      <w:r w:rsidR="00F72914" w:rsidRPr="00600AFD">
        <w:rPr>
          <w:rFonts w:ascii="Times New Roman" w:hAnsi="Times New Roman" w:cs="Times New Roman"/>
          <w:szCs w:val="24"/>
        </w:rPr>
        <w:t xml:space="preserve"> introduced, new continuous training programs</w:t>
      </w:r>
      <w:r w:rsidR="009E5C22" w:rsidRPr="00600AFD">
        <w:rPr>
          <w:rFonts w:ascii="Times New Roman" w:hAnsi="Times New Roman" w:cs="Times New Roman"/>
          <w:szCs w:val="24"/>
        </w:rPr>
        <w:t xml:space="preserve"> were established</w:t>
      </w:r>
      <w:r w:rsidR="00E21660" w:rsidRPr="00600AFD">
        <w:rPr>
          <w:rFonts w:ascii="Times New Roman" w:hAnsi="Times New Roman" w:cs="Times New Roman"/>
          <w:szCs w:val="24"/>
        </w:rPr>
        <w:t>, and capacities and transparency of work of the Judicial Academy</w:t>
      </w:r>
      <w:r w:rsidR="00240821" w:rsidRPr="00600AFD">
        <w:rPr>
          <w:rFonts w:ascii="Times New Roman" w:hAnsi="Times New Roman" w:cs="Times New Roman"/>
          <w:szCs w:val="24"/>
        </w:rPr>
        <w:t xml:space="preserve"> were considerably enh</w:t>
      </w:r>
      <w:r w:rsidR="00AC719F" w:rsidRPr="00600AFD">
        <w:rPr>
          <w:rFonts w:ascii="Times New Roman" w:hAnsi="Times New Roman" w:cs="Times New Roman"/>
          <w:szCs w:val="24"/>
        </w:rPr>
        <w:t xml:space="preserve">anced. </w:t>
      </w:r>
    </w:p>
    <w:p w14:paraId="3DC36355" w14:textId="07C2B1DE" w:rsidR="00F80F24" w:rsidRPr="00600AFD" w:rsidRDefault="00916942" w:rsidP="009B0647">
      <w:pPr>
        <w:pStyle w:val="ListParagraph"/>
        <w:spacing w:line="276" w:lineRule="auto"/>
        <w:ind w:left="0"/>
        <w:contextualSpacing w:val="0"/>
        <w:rPr>
          <w:rFonts w:ascii="Times New Roman" w:hAnsi="Times New Roman" w:cs="Times New Roman"/>
          <w:szCs w:val="24"/>
        </w:rPr>
      </w:pPr>
      <w:r w:rsidRPr="00600AFD">
        <w:rPr>
          <w:rFonts w:ascii="Times New Roman" w:hAnsi="Times New Roman" w:cs="Times New Roman"/>
          <w:szCs w:val="24"/>
        </w:rPr>
        <w:t xml:space="preserve">The role and importance of the lawyers’ profession should not be disregarded in the legal order of the society. Through its professional and dedicated work this profession participates in all reform processes, as an integral part of the judiciary and protector of the rights of citizens and legal entities. By its continuous professional development and improvement of standards of professional </w:t>
      </w:r>
      <w:r w:rsidRPr="00600AFD">
        <w:rPr>
          <w:rFonts w:ascii="Times New Roman" w:hAnsi="Times New Roman" w:cs="Times New Roman"/>
          <w:szCs w:val="24"/>
        </w:rPr>
        <w:lastRenderedPageBreak/>
        <w:t>ethics, it significantly affects the efficiency and fairness of court proceedings. With the adoption of the new Law on Free Legal Aid, the Bar has been given a key role in the implementation of the Law on Free Legal Aid</w:t>
      </w:r>
      <w:r w:rsidRPr="00600AFD">
        <w:rPr>
          <w:rStyle w:val="FootnoteReference"/>
          <w:rFonts w:ascii="Times New Roman" w:hAnsi="Times New Roman" w:cs="Times New Roman"/>
          <w:szCs w:val="24"/>
        </w:rPr>
        <w:footnoteReference w:id="13"/>
      </w:r>
      <w:r w:rsidRPr="00600AFD">
        <w:rPr>
          <w:rFonts w:ascii="Times New Roman" w:hAnsi="Times New Roman" w:cs="Times New Roman"/>
          <w:szCs w:val="24"/>
        </w:rPr>
        <w:t xml:space="preserve">. </w:t>
      </w:r>
      <w:r w:rsidR="00AC719F" w:rsidRPr="00600AFD">
        <w:rPr>
          <w:rFonts w:ascii="Times New Roman" w:hAnsi="Times New Roman" w:cs="Times New Roman"/>
          <w:szCs w:val="24"/>
        </w:rPr>
        <w:t xml:space="preserve">Mechanisms </w:t>
      </w:r>
      <w:r w:rsidR="001A3817" w:rsidRPr="00600AFD">
        <w:rPr>
          <w:rFonts w:ascii="Times New Roman" w:hAnsi="Times New Roman" w:cs="Times New Roman"/>
          <w:szCs w:val="24"/>
        </w:rPr>
        <w:t xml:space="preserve">for disciplinary </w:t>
      </w:r>
      <w:r w:rsidR="0009122B" w:rsidRPr="00600AFD">
        <w:rPr>
          <w:rFonts w:ascii="Times New Roman" w:hAnsi="Times New Roman" w:cs="Times New Roman"/>
          <w:szCs w:val="24"/>
        </w:rPr>
        <w:t xml:space="preserve">liability </w:t>
      </w:r>
      <w:r w:rsidR="001A3817" w:rsidRPr="00600AFD">
        <w:rPr>
          <w:rFonts w:ascii="Times New Roman" w:hAnsi="Times New Roman" w:cs="Times New Roman"/>
          <w:szCs w:val="24"/>
        </w:rPr>
        <w:t xml:space="preserve">and ethics </w:t>
      </w:r>
      <w:r w:rsidR="007E511D" w:rsidRPr="00600AFD">
        <w:rPr>
          <w:rFonts w:ascii="Times New Roman" w:hAnsi="Times New Roman" w:cs="Times New Roman"/>
          <w:szCs w:val="24"/>
        </w:rPr>
        <w:t xml:space="preserve">were </w:t>
      </w:r>
      <w:r w:rsidR="000D3399" w:rsidRPr="00600AFD">
        <w:rPr>
          <w:rFonts w:ascii="Times New Roman" w:hAnsi="Times New Roman" w:cs="Times New Roman"/>
          <w:szCs w:val="24"/>
        </w:rPr>
        <w:t>enhanced</w:t>
      </w:r>
      <w:r w:rsidR="007E511D" w:rsidRPr="00600AFD">
        <w:rPr>
          <w:rFonts w:ascii="Times New Roman" w:hAnsi="Times New Roman" w:cs="Times New Roman"/>
          <w:szCs w:val="24"/>
        </w:rPr>
        <w:t xml:space="preserve"> at the level of normative framework</w:t>
      </w:r>
      <w:r w:rsidR="00817E68" w:rsidRPr="00600AFD">
        <w:rPr>
          <w:rFonts w:ascii="Times New Roman" w:hAnsi="Times New Roman" w:cs="Times New Roman"/>
          <w:szCs w:val="24"/>
        </w:rPr>
        <w:t xml:space="preserve">, </w:t>
      </w:r>
      <w:r w:rsidR="007E511D" w:rsidRPr="00600AFD">
        <w:rPr>
          <w:rFonts w:ascii="Times New Roman" w:hAnsi="Times New Roman" w:cs="Times New Roman"/>
          <w:szCs w:val="24"/>
        </w:rPr>
        <w:t>as well as</w:t>
      </w:r>
      <w:r w:rsidR="00817E68" w:rsidRPr="00600AFD">
        <w:rPr>
          <w:rFonts w:ascii="Times New Roman" w:hAnsi="Times New Roman" w:cs="Times New Roman"/>
          <w:szCs w:val="24"/>
        </w:rPr>
        <w:t xml:space="preserve"> preventive action in the segment of trainings </w:t>
      </w:r>
      <w:r w:rsidR="00D02494" w:rsidRPr="00600AFD">
        <w:rPr>
          <w:rFonts w:ascii="Times New Roman" w:hAnsi="Times New Roman" w:cs="Times New Roman"/>
          <w:szCs w:val="24"/>
        </w:rPr>
        <w:t xml:space="preserve">in the field of </w:t>
      </w:r>
      <w:r w:rsidR="00B269F3" w:rsidRPr="00600AFD">
        <w:rPr>
          <w:rFonts w:ascii="Times New Roman" w:hAnsi="Times New Roman" w:cs="Times New Roman"/>
          <w:szCs w:val="24"/>
        </w:rPr>
        <w:t>ethics, while the</w:t>
      </w:r>
      <w:r w:rsidR="007B6A4B" w:rsidRPr="00600AFD">
        <w:rPr>
          <w:rFonts w:ascii="Times New Roman" w:hAnsi="Times New Roman" w:cs="Times New Roman"/>
          <w:szCs w:val="24"/>
        </w:rPr>
        <w:t xml:space="preserve">re is still room for further improvement of the work of disciplinary organs </w:t>
      </w:r>
      <w:r w:rsidR="00596909" w:rsidRPr="00600AFD">
        <w:rPr>
          <w:rFonts w:ascii="Times New Roman" w:hAnsi="Times New Roman" w:cs="Times New Roman"/>
          <w:szCs w:val="24"/>
        </w:rPr>
        <w:t xml:space="preserve">of </w:t>
      </w:r>
      <w:r w:rsidR="00CD47F4" w:rsidRPr="00600AFD">
        <w:rPr>
          <w:rFonts w:ascii="Times New Roman" w:hAnsi="Times New Roman" w:cs="Times New Roman"/>
          <w:szCs w:val="24"/>
        </w:rPr>
        <w:t>t</w:t>
      </w:r>
      <w:r w:rsidR="00596909" w:rsidRPr="00600AFD">
        <w:rPr>
          <w:rFonts w:ascii="Times New Roman" w:hAnsi="Times New Roman" w:cs="Times New Roman"/>
          <w:szCs w:val="24"/>
        </w:rPr>
        <w:t xml:space="preserve">he High </w:t>
      </w:r>
      <w:r w:rsidR="000068D4" w:rsidRPr="00600AFD">
        <w:rPr>
          <w:rFonts w:ascii="Times New Roman" w:hAnsi="Times New Roman" w:cs="Times New Roman"/>
          <w:szCs w:val="24"/>
        </w:rPr>
        <w:t>Court</w:t>
      </w:r>
      <w:r w:rsidR="00596909" w:rsidRPr="00600AFD">
        <w:rPr>
          <w:rFonts w:ascii="Times New Roman" w:hAnsi="Times New Roman" w:cs="Times New Roman"/>
          <w:szCs w:val="24"/>
        </w:rPr>
        <w:t xml:space="preserve"> Council and the State Prosecutorial Council. </w:t>
      </w:r>
    </w:p>
    <w:p w14:paraId="0BC69B6F" w14:textId="77777777" w:rsidR="00F80F24" w:rsidRPr="00600AFD" w:rsidRDefault="00596909" w:rsidP="009B0647">
      <w:pPr>
        <w:spacing w:line="276" w:lineRule="auto"/>
        <w:rPr>
          <w:rFonts w:ascii="Times New Roman" w:hAnsi="Times New Roman" w:cs="Times New Roman"/>
          <w:szCs w:val="24"/>
        </w:rPr>
      </w:pPr>
      <w:r w:rsidRPr="00600AFD">
        <w:rPr>
          <w:rFonts w:ascii="Times New Roman" w:hAnsi="Times New Roman" w:cs="Times New Roman"/>
          <w:szCs w:val="24"/>
        </w:rPr>
        <w:t xml:space="preserve">Significant results in the field of </w:t>
      </w:r>
      <w:r w:rsidR="00754508" w:rsidRPr="00600AFD">
        <w:rPr>
          <w:rFonts w:ascii="Times New Roman" w:hAnsi="Times New Roman" w:cs="Times New Roman"/>
          <w:szCs w:val="24"/>
        </w:rPr>
        <w:t xml:space="preserve">efficiency were </w:t>
      </w:r>
      <w:r w:rsidR="00C70E71" w:rsidRPr="00600AFD">
        <w:rPr>
          <w:rFonts w:ascii="Times New Roman" w:hAnsi="Times New Roman" w:cs="Times New Roman"/>
          <w:szCs w:val="24"/>
        </w:rPr>
        <w:t xml:space="preserve">achieved </w:t>
      </w:r>
      <w:r w:rsidR="000D7DDD" w:rsidRPr="00600AFD">
        <w:rPr>
          <w:rFonts w:ascii="Times New Roman" w:hAnsi="Times New Roman" w:cs="Times New Roman"/>
          <w:szCs w:val="24"/>
        </w:rPr>
        <w:t xml:space="preserve">by way of reducing the </w:t>
      </w:r>
      <w:r w:rsidR="00F60992" w:rsidRPr="00600AFD">
        <w:rPr>
          <w:rFonts w:ascii="Times New Roman" w:hAnsi="Times New Roman" w:cs="Times New Roman"/>
          <w:szCs w:val="24"/>
        </w:rPr>
        <w:t>number of pending cases (</w:t>
      </w:r>
      <w:r w:rsidR="0055072F" w:rsidRPr="00600AFD">
        <w:rPr>
          <w:rFonts w:ascii="Times New Roman" w:hAnsi="Times New Roman" w:cs="Times New Roman"/>
          <w:szCs w:val="24"/>
        </w:rPr>
        <w:t>enforcement cases in particular)</w:t>
      </w:r>
      <w:r w:rsidR="00AA26A8" w:rsidRPr="00600AFD">
        <w:rPr>
          <w:rFonts w:ascii="Times New Roman" w:hAnsi="Times New Roman" w:cs="Times New Roman"/>
          <w:szCs w:val="24"/>
        </w:rPr>
        <w:t xml:space="preserve">, but </w:t>
      </w:r>
      <w:r w:rsidR="00C70E71" w:rsidRPr="00600AFD">
        <w:rPr>
          <w:rFonts w:ascii="Times New Roman" w:hAnsi="Times New Roman" w:cs="Times New Roman"/>
          <w:szCs w:val="24"/>
        </w:rPr>
        <w:t xml:space="preserve">also through </w:t>
      </w:r>
      <w:r w:rsidR="00F517A4" w:rsidRPr="00600AFD">
        <w:rPr>
          <w:rFonts w:ascii="Times New Roman" w:hAnsi="Times New Roman" w:cs="Times New Roman"/>
          <w:szCs w:val="24"/>
        </w:rPr>
        <w:t xml:space="preserve">alleviation of </w:t>
      </w:r>
      <w:r w:rsidR="00333F83" w:rsidRPr="00600AFD">
        <w:rPr>
          <w:rFonts w:ascii="Times New Roman" w:hAnsi="Times New Roman" w:cs="Times New Roman"/>
          <w:szCs w:val="24"/>
        </w:rPr>
        <w:t xml:space="preserve">courts’ workload </w:t>
      </w:r>
      <w:r w:rsidR="00456C46" w:rsidRPr="00600AFD">
        <w:rPr>
          <w:rFonts w:ascii="Times New Roman" w:hAnsi="Times New Roman" w:cs="Times New Roman"/>
          <w:szCs w:val="24"/>
        </w:rPr>
        <w:t xml:space="preserve">stemming from </w:t>
      </w:r>
      <w:r w:rsidR="00C93178" w:rsidRPr="00600AFD">
        <w:rPr>
          <w:rFonts w:ascii="Times New Roman" w:hAnsi="Times New Roman" w:cs="Times New Roman"/>
          <w:szCs w:val="24"/>
        </w:rPr>
        <w:t xml:space="preserve">the extension of competencies </w:t>
      </w:r>
      <w:r w:rsidR="00486664" w:rsidRPr="00600AFD">
        <w:rPr>
          <w:rFonts w:ascii="Times New Roman" w:hAnsi="Times New Roman" w:cs="Times New Roman"/>
          <w:szCs w:val="24"/>
        </w:rPr>
        <w:t xml:space="preserve">of notaries public </w:t>
      </w:r>
      <w:r w:rsidR="00074952" w:rsidRPr="00600AFD">
        <w:rPr>
          <w:rFonts w:ascii="Times New Roman" w:hAnsi="Times New Roman" w:cs="Times New Roman"/>
          <w:szCs w:val="24"/>
        </w:rPr>
        <w:t xml:space="preserve">and </w:t>
      </w:r>
      <w:r w:rsidR="00F56E9E" w:rsidRPr="00600AFD">
        <w:rPr>
          <w:rFonts w:ascii="Times New Roman" w:hAnsi="Times New Roman" w:cs="Times New Roman"/>
          <w:szCs w:val="24"/>
        </w:rPr>
        <w:t xml:space="preserve">public </w:t>
      </w:r>
      <w:r w:rsidR="00074952" w:rsidRPr="00600AFD">
        <w:rPr>
          <w:rFonts w:ascii="Times New Roman" w:hAnsi="Times New Roman" w:cs="Times New Roman"/>
          <w:szCs w:val="24"/>
        </w:rPr>
        <w:t>enforcement</w:t>
      </w:r>
      <w:r w:rsidR="00F56E9E" w:rsidRPr="00600AFD">
        <w:rPr>
          <w:rFonts w:ascii="Times New Roman" w:hAnsi="Times New Roman" w:cs="Times New Roman"/>
          <w:szCs w:val="24"/>
        </w:rPr>
        <w:t xml:space="preserve"> officers. </w:t>
      </w:r>
      <w:r w:rsidR="00CB294F" w:rsidRPr="00600AFD">
        <w:rPr>
          <w:rFonts w:ascii="Times New Roman" w:hAnsi="Times New Roman" w:cs="Times New Roman"/>
          <w:szCs w:val="24"/>
        </w:rPr>
        <w:t xml:space="preserve">Multiple reform activities were focused on </w:t>
      </w:r>
      <w:r w:rsidR="0063628A" w:rsidRPr="00600AFD">
        <w:rPr>
          <w:rFonts w:ascii="Times New Roman" w:hAnsi="Times New Roman" w:cs="Times New Roman"/>
          <w:szCs w:val="24"/>
        </w:rPr>
        <w:t xml:space="preserve">the </w:t>
      </w:r>
      <w:r w:rsidR="00857BC7" w:rsidRPr="00600AFD">
        <w:rPr>
          <w:rFonts w:ascii="Times New Roman" w:hAnsi="Times New Roman" w:cs="Times New Roman"/>
          <w:szCs w:val="24"/>
        </w:rPr>
        <w:t xml:space="preserve">establishment of </w:t>
      </w:r>
      <w:r w:rsidR="0063628A" w:rsidRPr="00600AFD">
        <w:rPr>
          <w:rFonts w:ascii="Times New Roman" w:hAnsi="Times New Roman" w:cs="Times New Roman"/>
          <w:szCs w:val="24"/>
        </w:rPr>
        <w:t xml:space="preserve">an </w:t>
      </w:r>
      <w:r w:rsidR="00857BC7" w:rsidRPr="00600AFD">
        <w:rPr>
          <w:rFonts w:ascii="Times New Roman" w:hAnsi="Times New Roman" w:cs="Times New Roman"/>
          <w:szCs w:val="24"/>
        </w:rPr>
        <w:t>alternative dispute resolution system</w:t>
      </w:r>
      <w:r w:rsidR="0063628A" w:rsidRPr="00600AFD">
        <w:rPr>
          <w:rFonts w:ascii="Times New Roman" w:hAnsi="Times New Roman" w:cs="Times New Roman"/>
          <w:szCs w:val="24"/>
        </w:rPr>
        <w:t xml:space="preserve"> </w:t>
      </w:r>
      <w:r w:rsidR="00661B81" w:rsidRPr="00600AFD">
        <w:rPr>
          <w:rFonts w:ascii="Times New Roman" w:hAnsi="Times New Roman" w:cs="Times New Roman"/>
          <w:szCs w:val="24"/>
        </w:rPr>
        <w:t xml:space="preserve">through </w:t>
      </w:r>
      <w:r w:rsidR="004876AD" w:rsidRPr="00600AFD">
        <w:rPr>
          <w:rFonts w:ascii="Times New Roman" w:hAnsi="Times New Roman" w:cs="Times New Roman"/>
          <w:szCs w:val="24"/>
        </w:rPr>
        <w:t>changes to the legal framework and promotion</w:t>
      </w:r>
      <w:r w:rsidR="000E3537" w:rsidRPr="00600AFD">
        <w:rPr>
          <w:rFonts w:ascii="Times New Roman" w:hAnsi="Times New Roman" w:cs="Times New Roman"/>
          <w:szCs w:val="24"/>
        </w:rPr>
        <w:t>, h</w:t>
      </w:r>
      <w:r w:rsidR="004876AD" w:rsidRPr="00600AFD">
        <w:rPr>
          <w:rFonts w:ascii="Times New Roman" w:hAnsi="Times New Roman" w:cs="Times New Roman"/>
          <w:szCs w:val="24"/>
        </w:rPr>
        <w:t>owever,</w:t>
      </w:r>
      <w:r w:rsidR="000E3537" w:rsidRPr="00600AFD">
        <w:rPr>
          <w:rFonts w:ascii="Times New Roman" w:hAnsi="Times New Roman" w:cs="Times New Roman"/>
          <w:szCs w:val="24"/>
        </w:rPr>
        <w:t xml:space="preserve"> it </w:t>
      </w:r>
      <w:proofErr w:type="gramStart"/>
      <w:r w:rsidR="00E94E70" w:rsidRPr="00600AFD">
        <w:rPr>
          <w:rFonts w:ascii="Times New Roman" w:hAnsi="Times New Roman" w:cs="Times New Roman"/>
          <w:szCs w:val="24"/>
        </w:rPr>
        <w:t>still</w:t>
      </w:r>
      <w:r w:rsidR="000068D4" w:rsidRPr="00600AFD">
        <w:rPr>
          <w:rFonts w:ascii="Times New Roman" w:hAnsi="Times New Roman" w:cs="Times New Roman"/>
          <w:szCs w:val="24"/>
        </w:rPr>
        <w:t xml:space="preserve"> remains</w:t>
      </w:r>
      <w:proofErr w:type="gramEnd"/>
      <w:r w:rsidR="000068D4" w:rsidRPr="00600AFD">
        <w:rPr>
          <w:rFonts w:ascii="Times New Roman" w:hAnsi="Times New Roman" w:cs="Times New Roman"/>
          <w:szCs w:val="24"/>
        </w:rPr>
        <w:t xml:space="preserve"> to be rounded off as </w:t>
      </w:r>
      <w:r w:rsidR="00DA7A50" w:rsidRPr="00600AFD">
        <w:rPr>
          <w:rFonts w:ascii="Times New Roman" w:hAnsi="Times New Roman" w:cs="Times New Roman"/>
          <w:szCs w:val="24"/>
        </w:rPr>
        <w:t xml:space="preserve">a fully functioning system </w:t>
      </w:r>
      <w:r w:rsidR="000068D4" w:rsidRPr="00600AFD">
        <w:rPr>
          <w:rFonts w:ascii="Times New Roman" w:hAnsi="Times New Roman" w:cs="Times New Roman"/>
          <w:szCs w:val="24"/>
        </w:rPr>
        <w:t xml:space="preserve">to </w:t>
      </w:r>
      <w:r w:rsidR="00DA7A50" w:rsidRPr="00600AFD">
        <w:rPr>
          <w:rFonts w:ascii="Times New Roman" w:hAnsi="Times New Roman" w:cs="Times New Roman"/>
          <w:szCs w:val="24"/>
        </w:rPr>
        <w:t xml:space="preserve">yield </w:t>
      </w:r>
      <w:r w:rsidR="00E94E70" w:rsidRPr="00600AFD">
        <w:rPr>
          <w:rFonts w:ascii="Times New Roman" w:hAnsi="Times New Roman" w:cs="Times New Roman"/>
          <w:szCs w:val="24"/>
        </w:rPr>
        <w:t xml:space="preserve">the </w:t>
      </w:r>
      <w:r w:rsidR="000068D4" w:rsidRPr="00600AFD">
        <w:rPr>
          <w:rFonts w:ascii="Times New Roman" w:hAnsi="Times New Roman" w:cs="Times New Roman"/>
          <w:szCs w:val="24"/>
        </w:rPr>
        <w:t>intended</w:t>
      </w:r>
      <w:r w:rsidR="00271705" w:rsidRPr="00600AFD">
        <w:rPr>
          <w:rFonts w:ascii="Times New Roman" w:hAnsi="Times New Roman" w:cs="Times New Roman"/>
          <w:szCs w:val="24"/>
        </w:rPr>
        <w:t xml:space="preserve"> </w:t>
      </w:r>
      <w:r w:rsidR="00DA7A50" w:rsidRPr="00600AFD">
        <w:rPr>
          <w:rFonts w:ascii="Times New Roman" w:hAnsi="Times New Roman" w:cs="Times New Roman"/>
          <w:szCs w:val="24"/>
        </w:rPr>
        <w:t xml:space="preserve">effects. </w:t>
      </w:r>
      <w:r w:rsidR="00271705" w:rsidRPr="00600AFD">
        <w:rPr>
          <w:rFonts w:ascii="Times New Roman" w:hAnsi="Times New Roman" w:cs="Times New Roman"/>
          <w:szCs w:val="24"/>
        </w:rPr>
        <w:t xml:space="preserve">In addition, </w:t>
      </w:r>
      <w:r w:rsidR="00DB7D8E" w:rsidRPr="00600AFD">
        <w:rPr>
          <w:rFonts w:ascii="Times New Roman" w:hAnsi="Times New Roman" w:cs="Times New Roman"/>
          <w:szCs w:val="24"/>
        </w:rPr>
        <w:t xml:space="preserve">service of </w:t>
      </w:r>
      <w:r w:rsidR="00A35A81" w:rsidRPr="00600AFD">
        <w:rPr>
          <w:rFonts w:ascii="Times New Roman" w:hAnsi="Times New Roman" w:cs="Times New Roman"/>
          <w:szCs w:val="24"/>
        </w:rPr>
        <w:t>documents</w:t>
      </w:r>
      <w:r w:rsidR="00DB7D8E" w:rsidRPr="00600AFD">
        <w:rPr>
          <w:rFonts w:ascii="Times New Roman" w:hAnsi="Times New Roman" w:cs="Times New Roman"/>
          <w:szCs w:val="24"/>
        </w:rPr>
        <w:t>, collection of court fees</w:t>
      </w:r>
      <w:r w:rsidR="000068D4" w:rsidRPr="00600AFD">
        <w:rPr>
          <w:rFonts w:ascii="Times New Roman" w:hAnsi="Times New Roman" w:cs="Times New Roman"/>
          <w:szCs w:val="24"/>
        </w:rPr>
        <w:t>,</w:t>
      </w:r>
      <w:r w:rsidR="00DB7D8E" w:rsidRPr="00600AFD">
        <w:rPr>
          <w:rFonts w:ascii="Times New Roman" w:hAnsi="Times New Roman" w:cs="Times New Roman"/>
          <w:szCs w:val="24"/>
        </w:rPr>
        <w:t xml:space="preserve"> </w:t>
      </w:r>
      <w:r w:rsidR="0020662B" w:rsidRPr="00600AFD">
        <w:rPr>
          <w:rFonts w:ascii="Times New Roman" w:hAnsi="Times New Roman" w:cs="Times New Roman"/>
          <w:szCs w:val="24"/>
        </w:rPr>
        <w:t xml:space="preserve">and the role </w:t>
      </w:r>
      <w:r w:rsidR="001255C5" w:rsidRPr="00600AFD">
        <w:rPr>
          <w:rFonts w:ascii="Times New Roman" w:hAnsi="Times New Roman" w:cs="Times New Roman"/>
          <w:szCs w:val="24"/>
        </w:rPr>
        <w:t xml:space="preserve">of expert witnesses have not attained the level </w:t>
      </w:r>
      <w:r w:rsidR="00D80BBA" w:rsidRPr="00600AFD">
        <w:rPr>
          <w:rFonts w:ascii="Times New Roman" w:hAnsi="Times New Roman" w:cs="Times New Roman"/>
          <w:szCs w:val="24"/>
        </w:rPr>
        <w:t>that</w:t>
      </w:r>
      <w:r w:rsidR="00E177B1" w:rsidRPr="00600AFD">
        <w:rPr>
          <w:rFonts w:ascii="Times New Roman" w:hAnsi="Times New Roman" w:cs="Times New Roman"/>
          <w:szCs w:val="24"/>
        </w:rPr>
        <w:t xml:space="preserve"> would </w:t>
      </w:r>
      <w:r w:rsidR="00FF1A19" w:rsidRPr="00600AFD">
        <w:rPr>
          <w:rFonts w:ascii="Times New Roman" w:hAnsi="Times New Roman" w:cs="Times New Roman"/>
          <w:szCs w:val="24"/>
        </w:rPr>
        <w:t xml:space="preserve">provide for </w:t>
      </w:r>
      <w:r w:rsidR="00E177B1" w:rsidRPr="00600AFD">
        <w:rPr>
          <w:rFonts w:ascii="Times New Roman" w:hAnsi="Times New Roman" w:cs="Times New Roman"/>
          <w:szCs w:val="24"/>
        </w:rPr>
        <w:t xml:space="preserve">more efficient </w:t>
      </w:r>
      <w:r w:rsidR="00FF1A19" w:rsidRPr="00600AFD">
        <w:rPr>
          <w:rFonts w:ascii="Times New Roman" w:hAnsi="Times New Roman" w:cs="Times New Roman"/>
          <w:szCs w:val="24"/>
        </w:rPr>
        <w:t xml:space="preserve">procedures. </w:t>
      </w:r>
    </w:p>
    <w:p w14:paraId="5D45A5D9" w14:textId="77777777" w:rsidR="00A43554" w:rsidRPr="00600AFD" w:rsidRDefault="009D6B76" w:rsidP="009B0647">
      <w:pPr>
        <w:spacing w:line="276" w:lineRule="auto"/>
        <w:rPr>
          <w:rFonts w:ascii="Times New Roman" w:hAnsi="Times New Roman" w:cs="Times New Roman"/>
          <w:szCs w:val="24"/>
        </w:rPr>
      </w:pPr>
      <w:r w:rsidRPr="00600AFD">
        <w:rPr>
          <w:rFonts w:ascii="Times New Roman" w:hAnsi="Times New Roman" w:cs="Times New Roman"/>
          <w:szCs w:val="24"/>
        </w:rPr>
        <w:t xml:space="preserve">Exceptional progress has been achieved in the field of </w:t>
      </w:r>
      <w:r w:rsidR="000226D8" w:rsidRPr="00600AFD">
        <w:rPr>
          <w:rFonts w:ascii="Times New Roman" w:hAnsi="Times New Roman" w:cs="Times New Roman"/>
          <w:szCs w:val="24"/>
        </w:rPr>
        <w:t xml:space="preserve">advancement of </w:t>
      </w:r>
      <w:r w:rsidRPr="00600AFD">
        <w:rPr>
          <w:rFonts w:ascii="Times New Roman" w:hAnsi="Times New Roman" w:cs="Times New Roman"/>
          <w:szCs w:val="24"/>
        </w:rPr>
        <w:t>judicial</w:t>
      </w:r>
      <w:r w:rsidR="000226D8" w:rsidRPr="00600AFD">
        <w:rPr>
          <w:rFonts w:ascii="Times New Roman" w:hAnsi="Times New Roman" w:cs="Times New Roman"/>
          <w:szCs w:val="24"/>
        </w:rPr>
        <w:t xml:space="preserve"> infrastructure</w:t>
      </w:r>
      <w:r w:rsidR="004D2704" w:rsidRPr="00600AFD">
        <w:rPr>
          <w:rFonts w:ascii="Times New Roman" w:hAnsi="Times New Roman" w:cs="Times New Roman"/>
          <w:szCs w:val="24"/>
        </w:rPr>
        <w:t>,</w:t>
      </w:r>
      <w:r w:rsidR="000226D8" w:rsidRPr="00600AFD">
        <w:rPr>
          <w:rFonts w:ascii="Times New Roman" w:hAnsi="Times New Roman" w:cs="Times New Roman"/>
          <w:szCs w:val="24"/>
        </w:rPr>
        <w:t xml:space="preserve"> </w:t>
      </w:r>
      <w:r w:rsidR="000068D4" w:rsidRPr="00600AFD">
        <w:rPr>
          <w:rFonts w:ascii="Times New Roman" w:hAnsi="Times New Roman" w:cs="Times New Roman"/>
          <w:szCs w:val="24"/>
        </w:rPr>
        <w:t>the</w:t>
      </w:r>
      <w:r w:rsidR="000226D8" w:rsidRPr="00600AFD">
        <w:rPr>
          <w:rFonts w:ascii="Times New Roman" w:hAnsi="Times New Roman" w:cs="Times New Roman"/>
          <w:szCs w:val="24"/>
        </w:rPr>
        <w:t xml:space="preserve"> further continuous </w:t>
      </w:r>
      <w:r w:rsidR="00A859E1" w:rsidRPr="00600AFD">
        <w:rPr>
          <w:rFonts w:ascii="Times New Roman" w:hAnsi="Times New Roman" w:cs="Times New Roman"/>
          <w:szCs w:val="24"/>
        </w:rPr>
        <w:t>enhancement</w:t>
      </w:r>
      <w:r w:rsidR="000068D4" w:rsidRPr="00600AFD">
        <w:rPr>
          <w:rFonts w:ascii="Times New Roman" w:hAnsi="Times New Roman" w:cs="Times New Roman"/>
          <w:szCs w:val="24"/>
        </w:rPr>
        <w:t xml:space="preserve"> of which</w:t>
      </w:r>
      <w:r w:rsidR="00A859E1" w:rsidRPr="00600AFD">
        <w:rPr>
          <w:rFonts w:ascii="Times New Roman" w:hAnsi="Times New Roman" w:cs="Times New Roman"/>
          <w:szCs w:val="24"/>
        </w:rPr>
        <w:t xml:space="preserve"> is a prerequisite for </w:t>
      </w:r>
      <w:r w:rsidR="00F72CAE" w:rsidRPr="00600AFD">
        <w:rPr>
          <w:rFonts w:ascii="Times New Roman" w:hAnsi="Times New Roman" w:cs="Times New Roman"/>
          <w:szCs w:val="24"/>
        </w:rPr>
        <w:t>establishing a modern and quality judiciary.</w:t>
      </w:r>
    </w:p>
    <w:p w14:paraId="53F85C55" w14:textId="77777777" w:rsidR="00F80F24" w:rsidRPr="00600AFD" w:rsidRDefault="005A63ED" w:rsidP="009B0647">
      <w:pPr>
        <w:spacing w:line="276" w:lineRule="auto"/>
        <w:rPr>
          <w:rFonts w:ascii="Times New Roman" w:hAnsi="Times New Roman" w:cs="Times New Roman"/>
          <w:szCs w:val="24"/>
        </w:rPr>
      </w:pPr>
      <w:r w:rsidRPr="00600AFD">
        <w:rPr>
          <w:rFonts w:ascii="Times New Roman" w:hAnsi="Times New Roman" w:cs="Times New Roman"/>
          <w:szCs w:val="24"/>
        </w:rPr>
        <w:t xml:space="preserve">Despite significant progress in </w:t>
      </w:r>
      <w:r w:rsidR="00114924" w:rsidRPr="00600AFD">
        <w:rPr>
          <w:rFonts w:ascii="Times New Roman" w:hAnsi="Times New Roman" w:cs="Times New Roman"/>
          <w:szCs w:val="24"/>
        </w:rPr>
        <w:t xml:space="preserve">the field of </w:t>
      </w:r>
      <w:r w:rsidR="00A57B1D" w:rsidRPr="00600AFD">
        <w:rPr>
          <w:rFonts w:ascii="Times New Roman" w:hAnsi="Times New Roman" w:cs="Times New Roman"/>
          <w:szCs w:val="24"/>
        </w:rPr>
        <w:t xml:space="preserve">information </w:t>
      </w:r>
      <w:r w:rsidR="00114924" w:rsidRPr="00600AFD">
        <w:rPr>
          <w:rFonts w:ascii="Times New Roman" w:hAnsi="Times New Roman" w:cs="Times New Roman"/>
          <w:szCs w:val="24"/>
        </w:rPr>
        <w:t xml:space="preserve">technologies </w:t>
      </w:r>
      <w:r w:rsidR="000068D4" w:rsidRPr="00600AFD">
        <w:rPr>
          <w:rFonts w:ascii="Times New Roman" w:hAnsi="Times New Roman" w:cs="Times New Roman"/>
          <w:szCs w:val="24"/>
        </w:rPr>
        <w:t>in</w:t>
      </w:r>
      <w:r w:rsidR="00A57B1D" w:rsidRPr="00600AFD">
        <w:rPr>
          <w:rFonts w:ascii="Times New Roman" w:hAnsi="Times New Roman" w:cs="Times New Roman"/>
          <w:szCs w:val="24"/>
        </w:rPr>
        <w:t xml:space="preserve"> the judiciary, courts are still lacking standardized and compatible </w:t>
      </w:r>
      <w:r w:rsidR="00B45CE1" w:rsidRPr="00600AFD">
        <w:rPr>
          <w:rFonts w:ascii="Times New Roman" w:hAnsi="Times New Roman" w:cs="Times New Roman"/>
          <w:szCs w:val="24"/>
        </w:rPr>
        <w:t xml:space="preserve">automated case management </w:t>
      </w:r>
      <w:r w:rsidR="00A57B1D" w:rsidRPr="00600AFD">
        <w:rPr>
          <w:rFonts w:ascii="Times New Roman" w:hAnsi="Times New Roman" w:cs="Times New Roman"/>
          <w:szCs w:val="24"/>
        </w:rPr>
        <w:t>systems</w:t>
      </w:r>
      <w:r w:rsidR="00745A06" w:rsidRPr="00600AFD">
        <w:rPr>
          <w:rFonts w:ascii="Times New Roman" w:hAnsi="Times New Roman" w:cs="Times New Roman"/>
          <w:szCs w:val="24"/>
        </w:rPr>
        <w:t xml:space="preserve">, </w:t>
      </w:r>
      <w:r w:rsidR="00017CB7" w:rsidRPr="00600AFD">
        <w:rPr>
          <w:rFonts w:ascii="Times New Roman" w:hAnsi="Times New Roman" w:cs="Times New Roman"/>
          <w:szCs w:val="24"/>
        </w:rPr>
        <w:t xml:space="preserve">which precludes straightforward statistical and analytical </w:t>
      </w:r>
      <w:r w:rsidR="00F15A25" w:rsidRPr="00600AFD">
        <w:rPr>
          <w:rFonts w:ascii="Times New Roman" w:hAnsi="Times New Roman" w:cs="Times New Roman"/>
          <w:szCs w:val="24"/>
        </w:rPr>
        <w:t xml:space="preserve">performance monitoring and modern </w:t>
      </w:r>
      <w:r w:rsidR="00E122E4" w:rsidRPr="00600AFD">
        <w:rPr>
          <w:rFonts w:ascii="Times New Roman" w:hAnsi="Times New Roman" w:cs="Times New Roman"/>
          <w:szCs w:val="24"/>
        </w:rPr>
        <w:t xml:space="preserve">management of the judicial system. </w:t>
      </w:r>
      <w:r w:rsidR="007576B9" w:rsidRPr="00600AFD">
        <w:rPr>
          <w:rFonts w:ascii="Times New Roman" w:hAnsi="Times New Roman" w:cs="Times New Roman"/>
          <w:szCs w:val="24"/>
        </w:rPr>
        <w:t xml:space="preserve">The </w:t>
      </w:r>
      <w:r w:rsidR="00F51420" w:rsidRPr="00600AFD">
        <w:rPr>
          <w:rFonts w:ascii="Times New Roman" w:hAnsi="Times New Roman" w:cs="Times New Roman"/>
          <w:szCs w:val="24"/>
        </w:rPr>
        <w:t>automated case management system</w:t>
      </w:r>
      <w:r w:rsidR="006E0647" w:rsidRPr="00600AFD">
        <w:rPr>
          <w:rFonts w:ascii="Times New Roman" w:hAnsi="Times New Roman" w:cs="Times New Roman"/>
          <w:szCs w:val="24"/>
        </w:rPr>
        <w:t xml:space="preserve"> has not been implemented in all public prosecutors’ offices</w:t>
      </w:r>
      <w:r w:rsidR="007576B9" w:rsidRPr="00600AFD">
        <w:rPr>
          <w:rFonts w:ascii="Times New Roman" w:hAnsi="Times New Roman" w:cs="Times New Roman"/>
          <w:szCs w:val="24"/>
        </w:rPr>
        <w:t xml:space="preserve">, </w:t>
      </w:r>
      <w:r w:rsidR="00D80BBA" w:rsidRPr="00600AFD">
        <w:rPr>
          <w:rFonts w:ascii="Times New Roman" w:hAnsi="Times New Roman" w:cs="Times New Roman"/>
          <w:szCs w:val="24"/>
        </w:rPr>
        <w:t>and moreover</w:t>
      </w:r>
      <w:r w:rsidR="007576B9" w:rsidRPr="00600AFD">
        <w:rPr>
          <w:rFonts w:ascii="Times New Roman" w:hAnsi="Times New Roman" w:cs="Times New Roman"/>
          <w:szCs w:val="24"/>
        </w:rPr>
        <w:t xml:space="preserve">, the public prosecutors’ offices infrastructure </w:t>
      </w:r>
      <w:r w:rsidR="00CE3035" w:rsidRPr="00600AFD">
        <w:rPr>
          <w:rFonts w:ascii="Times New Roman" w:hAnsi="Times New Roman" w:cs="Times New Roman"/>
          <w:szCs w:val="24"/>
        </w:rPr>
        <w:t xml:space="preserve">is </w:t>
      </w:r>
      <w:r w:rsidR="00D80BBA" w:rsidRPr="00600AFD">
        <w:rPr>
          <w:rFonts w:ascii="Times New Roman" w:hAnsi="Times New Roman" w:cs="Times New Roman"/>
          <w:szCs w:val="24"/>
        </w:rPr>
        <w:t xml:space="preserve">still </w:t>
      </w:r>
      <w:r w:rsidR="00CE3035" w:rsidRPr="00600AFD">
        <w:rPr>
          <w:rFonts w:ascii="Times New Roman" w:hAnsi="Times New Roman" w:cs="Times New Roman"/>
          <w:szCs w:val="24"/>
        </w:rPr>
        <w:t xml:space="preserve">not </w:t>
      </w:r>
      <w:r w:rsidR="00C8534A" w:rsidRPr="00600AFD">
        <w:rPr>
          <w:rFonts w:ascii="Times New Roman" w:hAnsi="Times New Roman" w:cs="Times New Roman"/>
          <w:szCs w:val="24"/>
        </w:rPr>
        <w:t xml:space="preserve">suitable for further implementation of the </w:t>
      </w:r>
      <w:r w:rsidR="001C6259" w:rsidRPr="00600AFD">
        <w:rPr>
          <w:rFonts w:ascii="Times New Roman" w:hAnsi="Times New Roman" w:cs="Times New Roman"/>
          <w:szCs w:val="24"/>
        </w:rPr>
        <w:t xml:space="preserve">software solution. </w:t>
      </w:r>
    </w:p>
    <w:p w14:paraId="79FB154C" w14:textId="08A06ADC" w:rsidR="00656207" w:rsidRPr="00600AFD" w:rsidRDefault="005B5B2A" w:rsidP="009B0647">
      <w:pPr>
        <w:spacing w:line="276" w:lineRule="auto"/>
        <w:rPr>
          <w:rFonts w:ascii="Times New Roman" w:hAnsi="Times New Roman" w:cs="Times New Roman"/>
          <w:szCs w:val="24"/>
        </w:rPr>
      </w:pPr>
      <w:r w:rsidRPr="00600AFD">
        <w:rPr>
          <w:rFonts w:ascii="Times New Roman" w:hAnsi="Times New Roman" w:cs="Times New Roman"/>
          <w:szCs w:val="24"/>
        </w:rPr>
        <w:t xml:space="preserve">Reform activities in the judiciary of the Republic of Serbia, as regulated </w:t>
      </w:r>
      <w:r w:rsidR="00081D1E" w:rsidRPr="00600AFD">
        <w:rPr>
          <w:rFonts w:ascii="Times New Roman" w:hAnsi="Times New Roman" w:cs="Times New Roman"/>
          <w:szCs w:val="24"/>
        </w:rPr>
        <w:t xml:space="preserve">in strategic documents, </w:t>
      </w:r>
      <w:r w:rsidR="00FA2C05" w:rsidRPr="00600AFD">
        <w:rPr>
          <w:rFonts w:ascii="Times New Roman" w:hAnsi="Times New Roman" w:cs="Times New Roman"/>
          <w:szCs w:val="24"/>
        </w:rPr>
        <w:t xml:space="preserve">have </w:t>
      </w:r>
      <w:r w:rsidR="00081D1E" w:rsidRPr="00600AFD">
        <w:rPr>
          <w:rFonts w:ascii="Times New Roman" w:hAnsi="Times New Roman" w:cs="Times New Roman"/>
          <w:szCs w:val="24"/>
        </w:rPr>
        <w:t xml:space="preserve">been </w:t>
      </w:r>
      <w:r w:rsidR="00501B1D" w:rsidRPr="00600AFD">
        <w:rPr>
          <w:rFonts w:ascii="Times New Roman" w:hAnsi="Times New Roman" w:cs="Times New Roman"/>
          <w:szCs w:val="24"/>
        </w:rPr>
        <w:t xml:space="preserve">implemented for over a decade, </w:t>
      </w:r>
      <w:r w:rsidR="00FA2C05" w:rsidRPr="00600AFD">
        <w:rPr>
          <w:rFonts w:ascii="Times New Roman" w:hAnsi="Times New Roman" w:cs="Times New Roman"/>
          <w:szCs w:val="24"/>
        </w:rPr>
        <w:t>but the preparations</w:t>
      </w:r>
      <w:r w:rsidR="00490018" w:rsidRPr="00600AFD">
        <w:rPr>
          <w:rFonts w:ascii="Times New Roman" w:hAnsi="Times New Roman" w:cs="Times New Roman"/>
          <w:szCs w:val="24"/>
        </w:rPr>
        <w:t xml:space="preserve"> for and </w:t>
      </w:r>
      <w:r w:rsidR="00CC352A" w:rsidRPr="00600AFD">
        <w:rPr>
          <w:rFonts w:ascii="Times New Roman" w:hAnsi="Times New Roman" w:cs="Times New Roman"/>
          <w:szCs w:val="24"/>
        </w:rPr>
        <w:t xml:space="preserve">the </w:t>
      </w:r>
      <w:r w:rsidR="00490018" w:rsidRPr="00600AFD">
        <w:rPr>
          <w:rFonts w:ascii="Times New Roman" w:hAnsi="Times New Roman" w:cs="Times New Roman"/>
          <w:szCs w:val="24"/>
        </w:rPr>
        <w:t>opening of EU accession negotiations as part of Chapter 23 in July 2016</w:t>
      </w:r>
      <w:r w:rsidR="00CC352A" w:rsidRPr="00600AFD">
        <w:rPr>
          <w:rFonts w:ascii="Times New Roman" w:hAnsi="Times New Roman" w:cs="Times New Roman"/>
          <w:szCs w:val="24"/>
        </w:rPr>
        <w:t xml:space="preserve"> </w:t>
      </w:r>
      <w:r w:rsidR="00881209" w:rsidRPr="00600AFD">
        <w:rPr>
          <w:rFonts w:ascii="Times New Roman" w:hAnsi="Times New Roman" w:cs="Times New Roman"/>
          <w:szCs w:val="24"/>
        </w:rPr>
        <w:t>provided</w:t>
      </w:r>
      <w:r w:rsidR="00345DC6" w:rsidRPr="00600AFD">
        <w:rPr>
          <w:rFonts w:ascii="Times New Roman" w:hAnsi="Times New Roman" w:cs="Times New Roman"/>
          <w:szCs w:val="24"/>
        </w:rPr>
        <w:t xml:space="preserve"> </w:t>
      </w:r>
      <w:r w:rsidR="00851E4E" w:rsidRPr="00600AFD">
        <w:rPr>
          <w:rFonts w:ascii="Times New Roman" w:hAnsi="Times New Roman" w:cs="Times New Roman"/>
          <w:szCs w:val="24"/>
        </w:rPr>
        <w:t xml:space="preserve">them </w:t>
      </w:r>
      <w:r w:rsidR="00881209" w:rsidRPr="00600AFD">
        <w:rPr>
          <w:rFonts w:ascii="Times New Roman" w:hAnsi="Times New Roman" w:cs="Times New Roman"/>
          <w:szCs w:val="24"/>
        </w:rPr>
        <w:t xml:space="preserve">with </w:t>
      </w:r>
      <w:r w:rsidR="00345DC6" w:rsidRPr="00600AFD">
        <w:rPr>
          <w:rFonts w:ascii="Times New Roman" w:hAnsi="Times New Roman" w:cs="Times New Roman"/>
          <w:szCs w:val="24"/>
        </w:rPr>
        <w:t>a</w:t>
      </w:r>
      <w:r w:rsidR="00D12A58" w:rsidRPr="00600AFD">
        <w:rPr>
          <w:rFonts w:ascii="Times New Roman" w:hAnsi="Times New Roman" w:cs="Times New Roman"/>
          <w:szCs w:val="24"/>
        </w:rPr>
        <w:t>n</w:t>
      </w:r>
      <w:r w:rsidR="00176844" w:rsidRPr="00600AFD">
        <w:rPr>
          <w:rFonts w:ascii="Times New Roman" w:hAnsi="Times New Roman" w:cs="Times New Roman"/>
          <w:szCs w:val="24"/>
        </w:rPr>
        <w:t xml:space="preserve"> </w:t>
      </w:r>
      <w:r w:rsidR="00345DC6" w:rsidRPr="00600AFD">
        <w:rPr>
          <w:rFonts w:ascii="Times New Roman" w:hAnsi="Times New Roman" w:cs="Times New Roman"/>
          <w:szCs w:val="24"/>
        </w:rPr>
        <w:t>impetus</w:t>
      </w:r>
      <w:r w:rsidR="00881209" w:rsidRPr="00600AFD">
        <w:rPr>
          <w:rFonts w:ascii="Times New Roman" w:hAnsi="Times New Roman" w:cs="Times New Roman"/>
          <w:szCs w:val="24"/>
        </w:rPr>
        <w:t xml:space="preserve"> </w:t>
      </w:r>
      <w:r w:rsidR="007C7613" w:rsidRPr="00600AFD">
        <w:rPr>
          <w:rFonts w:ascii="Times New Roman" w:hAnsi="Times New Roman" w:cs="Times New Roman"/>
          <w:szCs w:val="24"/>
        </w:rPr>
        <w:t xml:space="preserve">necessary for further development </w:t>
      </w:r>
      <w:r w:rsidR="00D80BBA" w:rsidRPr="00600AFD">
        <w:rPr>
          <w:rFonts w:ascii="Times New Roman" w:hAnsi="Times New Roman" w:cs="Times New Roman"/>
          <w:szCs w:val="24"/>
        </w:rPr>
        <w:t>that</w:t>
      </w:r>
      <w:r w:rsidR="00881209" w:rsidRPr="00600AFD">
        <w:rPr>
          <w:rFonts w:ascii="Times New Roman" w:hAnsi="Times New Roman" w:cs="Times New Roman"/>
          <w:szCs w:val="24"/>
        </w:rPr>
        <w:t xml:space="preserve"> made it possible to</w:t>
      </w:r>
      <w:r w:rsidR="00616F1B" w:rsidRPr="00600AFD">
        <w:rPr>
          <w:rFonts w:ascii="Times New Roman" w:hAnsi="Times New Roman" w:cs="Times New Roman"/>
          <w:szCs w:val="24"/>
        </w:rPr>
        <w:t xml:space="preserve"> perform a more in</w:t>
      </w:r>
      <w:r w:rsidR="000F3999">
        <w:rPr>
          <w:rFonts w:ascii="Times New Roman" w:hAnsi="Times New Roman" w:cs="Times New Roman"/>
          <w:szCs w:val="24"/>
        </w:rPr>
        <w:t>–</w:t>
      </w:r>
      <w:r w:rsidR="00616F1B" w:rsidRPr="00600AFD">
        <w:rPr>
          <w:rFonts w:ascii="Times New Roman" w:hAnsi="Times New Roman" w:cs="Times New Roman"/>
          <w:szCs w:val="24"/>
        </w:rPr>
        <w:t>depth</w:t>
      </w:r>
      <w:r w:rsidR="00881209" w:rsidRPr="00600AFD">
        <w:rPr>
          <w:rFonts w:ascii="Times New Roman" w:hAnsi="Times New Roman" w:cs="Times New Roman"/>
          <w:szCs w:val="24"/>
        </w:rPr>
        <w:t xml:space="preserve"> </w:t>
      </w:r>
      <w:r w:rsidR="004C6373" w:rsidRPr="00600AFD">
        <w:rPr>
          <w:rFonts w:ascii="Times New Roman" w:hAnsi="Times New Roman" w:cs="Times New Roman"/>
          <w:szCs w:val="24"/>
        </w:rPr>
        <w:t xml:space="preserve">review </w:t>
      </w:r>
      <w:r w:rsidR="00616F1B" w:rsidRPr="00600AFD">
        <w:rPr>
          <w:rFonts w:ascii="Times New Roman" w:hAnsi="Times New Roman" w:cs="Times New Roman"/>
          <w:szCs w:val="24"/>
        </w:rPr>
        <w:t xml:space="preserve">of </w:t>
      </w:r>
      <w:r w:rsidR="006C5B1A" w:rsidRPr="00600AFD">
        <w:rPr>
          <w:rFonts w:ascii="Times New Roman" w:hAnsi="Times New Roman" w:cs="Times New Roman"/>
          <w:szCs w:val="24"/>
        </w:rPr>
        <w:t xml:space="preserve">the </w:t>
      </w:r>
      <w:r w:rsidR="006513B5" w:rsidRPr="00600AFD">
        <w:rPr>
          <w:rFonts w:ascii="Times New Roman" w:hAnsi="Times New Roman" w:cs="Times New Roman"/>
          <w:szCs w:val="24"/>
        </w:rPr>
        <w:t xml:space="preserve">obligations and steps required for </w:t>
      </w:r>
      <w:r w:rsidR="004377B4" w:rsidRPr="00600AFD">
        <w:rPr>
          <w:rFonts w:ascii="Times New Roman" w:hAnsi="Times New Roman" w:cs="Times New Roman"/>
          <w:szCs w:val="24"/>
        </w:rPr>
        <w:t>meeting interim benchmarks and attaining European standards</w:t>
      </w:r>
      <w:r w:rsidR="006C5B1A" w:rsidRPr="00600AFD">
        <w:rPr>
          <w:rFonts w:ascii="Times New Roman" w:hAnsi="Times New Roman" w:cs="Times New Roman"/>
          <w:szCs w:val="24"/>
        </w:rPr>
        <w:t xml:space="preserve">. </w:t>
      </w:r>
      <w:r w:rsidR="001D0069" w:rsidRPr="00600AFD">
        <w:rPr>
          <w:rFonts w:ascii="Times New Roman" w:hAnsi="Times New Roman" w:cs="Times New Roman"/>
          <w:szCs w:val="24"/>
        </w:rPr>
        <w:t xml:space="preserve"> </w:t>
      </w:r>
    </w:p>
    <w:p w14:paraId="306CFE72" w14:textId="0A8CE7C7" w:rsidR="00655EE3" w:rsidRPr="00600AFD" w:rsidRDefault="009964E4" w:rsidP="00D708A9">
      <w:pPr>
        <w:spacing w:line="276" w:lineRule="auto"/>
        <w:rPr>
          <w:rFonts w:ascii="Times New Roman" w:hAnsi="Times New Roman" w:cs="Times New Roman"/>
          <w:szCs w:val="24"/>
        </w:rPr>
      </w:pPr>
      <w:r w:rsidRPr="00600AFD">
        <w:rPr>
          <w:rFonts w:ascii="Times New Roman" w:hAnsi="Times New Roman" w:cs="Times New Roman"/>
          <w:szCs w:val="24"/>
        </w:rPr>
        <w:t xml:space="preserve">The work of the Commission </w:t>
      </w:r>
      <w:r w:rsidR="0006585C" w:rsidRPr="00600AFD">
        <w:rPr>
          <w:rFonts w:ascii="Times New Roman" w:hAnsi="Times New Roman" w:cs="Times New Roman"/>
          <w:szCs w:val="24"/>
        </w:rPr>
        <w:t xml:space="preserve">for Monitoring the </w:t>
      </w:r>
      <w:r w:rsidR="007866E3" w:rsidRPr="00600AFD">
        <w:rPr>
          <w:rFonts w:ascii="Times New Roman" w:hAnsi="Times New Roman" w:cs="Times New Roman"/>
          <w:szCs w:val="24"/>
        </w:rPr>
        <w:t>2013</w:t>
      </w:r>
      <w:r w:rsidR="000F3999">
        <w:rPr>
          <w:rFonts w:ascii="Times New Roman" w:hAnsi="Times New Roman" w:cs="Times New Roman"/>
          <w:szCs w:val="24"/>
        </w:rPr>
        <w:t>–</w:t>
      </w:r>
      <w:r w:rsidR="007866E3" w:rsidRPr="00600AFD">
        <w:rPr>
          <w:rFonts w:ascii="Times New Roman" w:hAnsi="Times New Roman" w:cs="Times New Roman"/>
          <w:szCs w:val="24"/>
        </w:rPr>
        <w:t>2018 NJRS</w:t>
      </w:r>
      <w:r w:rsidR="0006585C" w:rsidRPr="00600AFD">
        <w:rPr>
          <w:rFonts w:ascii="Times New Roman" w:hAnsi="Times New Roman" w:cs="Times New Roman"/>
          <w:szCs w:val="24"/>
        </w:rPr>
        <w:t xml:space="preserve"> Implementation and the Council for Chapter 23 Action Plan Implementation</w:t>
      </w:r>
      <w:r w:rsidR="00F9277E" w:rsidRPr="00600AFD">
        <w:rPr>
          <w:rFonts w:ascii="Times New Roman" w:hAnsi="Times New Roman" w:cs="Times New Roman"/>
          <w:szCs w:val="24"/>
        </w:rPr>
        <w:t xml:space="preserve"> has considerably enhanced the mechanisms for monitoring and </w:t>
      </w:r>
      <w:r w:rsidR="00101274" w:rsidRPr="00600AFD">
        <w:rPr>
          <w:rFonts w:ascii="Times New Roman" w:hAnsi="Times New Roman" w:cs="Times New Roman"/>
          <w:szCs w:val="24"/>
        </w:rPr>
        <w:t xml:space="preserve">evaluation </w:t>
      </w:r>
      <w:r w:rsidR="00051326" w:rsidRPr="00600AFD">
        <w:rPr>
          <w:rFonts w:ascii="Times New Roman" w:hAnsi="Times New Roman" w:cs="Times New Roman"/>
          <w:szCs w:val="24"/>
        </w:rPr>
        <w:t xml:space="preserve">of </w:t>
      </w:r>
      <w:r w:rsidR="00F24522" w:rsidRPr="00600AFD">
        <w:rPr>
          <w:rFonts w:ascii="Times New Roman" w:hAnsi="Times New Roman" w:cs="Times New Roman"/>
          <w:szCs w:val="24"/>
        </w:rPr>
        <w:t xml:space="preserve">the results </w:t>
      </w:r>
      <w:r w:rsidR="001960B9" w:rsidRPr="00600AFD">
        <w:rPr>
          <w:rFonts w:ascii="Times New Roman" w:hAnsi="Times New Roman" w:cs="Times New Roman"/>
          <w:szCs w:val="24"/>
        </w:rPr>
        <w:t xml:space="preserve">stemming from </w:t>
      </w:r>
      <w:r w:rsidR="00F24522" w:rsidRPr="00600AFD">
        <w:rPr>
          <w:rFonts w:ascii="Times New Roman" w:hAnsi="Times New Roman" w:cs="Times New Roman"/>
          <w:szCs w:val="24"/>
        </w:rPr>
        <w:t>the implementation</w:t>
      </w:r>
      <w:r w:rsidR="00616F1B" w:rsidRPr="00600AFD">
        <w:rPr>
          <w:rFonts w:ascii="Times New Roman" w:hAnsi="Times New Roman" w:cs="Times New Roman"/>
          <w:szCs w:val="24"/>
        </w:rPr>
        <w:t xml:space="preserve"> of reforms</w:t>
      </w:r>
      <w:r w:rsidR="00F24522" w:rsidRPr="00600AFD">
        <w:rPr>
          <w:rFonts w:ascii="Times New Roman" w:hAnsi="Times New Roman" w:cs="Times New Roman"/>
          <w:szCs w:val="24"/>
        </w:rPr>
        <w:t xml:space="preserve">. </w:t>
      </w:r>
    </w:p>
    <w:p w14:paraId="606A1C60" w14:textId="6F733F29" w:rsidR="000C2149" w:rsidRPr="00600AFD" w:rsidRDefault="00031AF8" w:rsidP="00D708A9">
      <w:pPr>
        <w:spacing w:line="276" w:lineRule="auto"/>
        <w:rPr>
          <w:rFonts w:ascii="Times New Roman" w:hAnsi="Times New Roman" w:cs="Times New Roman"/>
          <w:szCs w:val="24"/>
        </w:rPr>
      </w:pPr>
      <w:r w:rsidRPr="00600AFD">
        <w:rPr>
          <w:rFonts w:ascii="Times New Roman" w:hAnsi="Times New Roman" w:cs="Times New Roman"/>
          <w:szCs w:val="24"/>
        </w:rPr>
        <w:t xml:space="preserve">The </w:t>
      </w:r>
      <w:r w:rsidR="008577F1" w:rsidRPr="00600AFD">
        <w:rPr>
          <w:rFonts w:ascii="Times New Roman" w:hAnsi="Times New Roman" w:cs="Times New Roman"/>
          <w:szCs w:val="24"/>
        </w:rPr>
        <w:t xml:space="preserve">said monitoring mechanisms, particularly </w:t>
      </w:r>
      <w:r w:rsidR="008F7FAD" w:rsidRPr="00600AFD">
        <w:rPr>
          <w:rFonts w:ascii="Times New Roman" w:hAnsi="Times New Roman" w:cs="Times New Roman"/>
          <w:szCs w:val="24"/>
        </w:rPr>
        <w:t xml:space="preserve">the AP23 mechanism, have significantly contributed </w:t>
      </w:r>
      <w:r w:rsidR="004E079E" w:rsidRPr="00600AFD">
        <w:rPr>
          <w:rFonts w:ascii="Times New Roman" w:hAnsi="Times New Roman" w:cs="Times New Roman"/>
          <w:szCs w:val="24"/>
        </w:rPr>
        <w:t xml:space="preserve">to transparency of the reform process, as well as objectivity and standardization </w:t>
      </w:r>
      <w:r w:rsidR="008A67AA" w:rsidRPr="00600AFD">
        <w:rPr>
          <w:rFonts w:ascii="Times New Roman" w:hAnsi="Times New Roman" w:cs="Times New Roman"/>
          <w:szCs w:val="24"/>
        </w:rPr>
        <w:t xml:space="preserve">of reporting and evaluation processes. </w:t>
      </w:r>
      <w:r w:rsidR="008D3B29" w:rsidRPr="00600AFD">
        <w:rPr>
          <w:rFonts w:ascii="Times New Roman" w:hAnsi="Times New Roman" w:cs="Times New Roman"/>
          <w:szCs w:val="24"/>
        </w:rPr>
        <w:t xml:space="preserve">The foundations </w:t>
      </w:r>
      <w:r w:rsidR="00454BEF" w:rsidRPr="00600AFD">
        <w:rPr>
          <w:rFonts w:ascii="Times New Roman" w:hAnsi="Times New Roman" w:cs="Times New Roman"/>
          <w:szCs w:val="24"/>
        </w:rPr>
        <w:t>of the culture of self</w:t>
      </w:r>
      <w:r w:rsidR="000F3999">
        <w:rPr>
          <w:rFonts w:ascii="Times New Roman" w:hAnsi="Times New Roman" w:cs="Times New Roman"/>
          <w:szCs w:val="24"/>
        </w:rPr>
        <w:t>–</w:t>
      </w:r>
      <w:r w:rsidR="001D255A" w:rsidRPr="00600AFD">
        <w:rPr>
          <w:rFonts w:ascii="Times New Roman" w:hAnsi="Times New Roman" w:cs="Times New Roman"/>
          <w:szCs w:val="24"/>
        </w:rPr>
        <w:t xml:space="preserve">assessment </w:t>
      </w:r>
      <w:r w:rsidR="00454BEF" w:rsidRPr="00600AFD">
        <w:rPr>
          <w:rFonts w:ascii="Times New Roman" w:hAnsi="Times New Roman" w:cs="Times New Roman"/>
          <w:szCs w:val="24"/>
        </w:rPr>
        <w:t xml:space="preserve">at </w:t>
      </w:r>
      <w:r w:rsidR="00454BEF" w:rsidRPr="00600AFD">
        <w:rPr>
          <w:rFonts w:ascii="Times New Roman" w:hAnsi="Times New Roman" w:cs="Times New Roman"/>
          <w:szCs w:val="24"/>
        </w:rPr>
        <w:lastRenderedPageBreak/>
        <w:t xml:space="preserve">institutions </w:t>
      </w:r>
      <w:r w:rsidR="00FE1BAD" w:rsidRPr="00600AFD">
        <w:rPr>
          <w:rFonts w:ascii="Times New Roman" w:hAnsi="Times New Roman" w:cs="Times New Roman"/>
          <w:szCs w:val="24"/>
        </w:rPr>
        <w:t xml:space="preserve">have been built through </w:t>
      </w:r>
      <w:r w:rsidR="00CF44E2" w:rsidRPr="00600AFD">
        <w:rPr>
          <w:rFonts w:ascii="Times New Roman" w:hAnsi="Times New Roman" w:cs="Times New Roman"/>
          <w:szCs w:val="24"/>
        </w:rPr>
        <w:t xml:space="preserve">training on </w:t>
      </w:r>
      <w:r w:rsidR="00FE1BAD" w:rsidRPr="00600AFD">
        <w:rPr>
          <w:rFonts w:ascii="Times New Roman" w:hAnsi="Times New Roman" w:cs="Times New Roman"/>
          <w:szCs w:val="24"/>
        </w:rPr>
        <w:t xml:space="preserve">reporting and must be followed </w:t>
      </w:r>
      <w:r w:rsidR="005603C9" w:rsidRPr="00600AFD">
        <w:rPr>
          <w:rFonts w:ascii="Times New Roman" w:hAnsi="Times New Roman" w:cs="Times New Roman"/>
          <w:szCs w:val="24"/>
        </w:rPr>
        <w:t xml:space="preserve">by an objective and competent evaluation of results. </w:t>
      </w:r>
      <w:r w:rsidR="00570EE0" w:rsidRPr="00600AFD">
        <w:rPr>
          <w:rFonts w:ascii="Times New Roman" w:hAnsi="Times New Roman" w:cs="Times New Roman"/>
          <w:szCs w:val="24"/>
        </w:rPr>
        <w:t xml:space="preserve">Hence, </w:t>
      </w:r>
      <w:r w:rsidR="006102CE" w:rsidRPr="00600AFD">
        <w:rPr>
          <w:rFonts w:ascii="Times New Roman" w:hAnsi="Times New Roman" w:cs="Times New Roman"/>
          <w:szCs w:val="24"/>
        </w:rPr>
        <w:t xml:space="preserve">work should be done </w:t>
      </w:r>
      <w:r w:rsidR="0017493B" w:rsidRPr="00600AFD">
        <w:rPr>
          <w:rFonts w:ascii="Times New Roman" w:hAnsi="Times New Roman" w:cs="Times New Roman"/>
          <w:szCs w:val="24"/>
        </w:rPr>
        <w:t xml:space="preserve">in </w:t>
      </w:r>
      <w:r w:rsidR="00894F35" w:rsidRPr="00600AFD">
        <w:rPr>
          <w:rFonts w:ascii="Times New Roman" w:hAnsi="Times New Roman" w:cs="Times New Roman"/>
          <w:szCs w:val="24"/>
        </w:rPr>
        <w:t>the coming</w:t>
      </w:r>
      <w:r w:rsidR="0017493B" w:rsidRPr="00600AFD">
        <w:rPr>
          <w:rFonts w:ascii="Times New Roman" w:hAnsi="Times New Roman" w:cs="Times New Roman"/>
          <w:szCs w:val="24"/>
        </w:rPr>
        <w:t xml:space="preserve"> period</w:t>
      </w:r>
      <w:r w:rsidR="00302C40" w:rsidRPr="00600AFD">
        <w:rPr>
          <w:rFonts w:ascii="Times New Roman" w:hAnsi="Times New Roman" w:cs="Times New Roman"/>
          <w:szCs w:val="24"/>
        </w:rPr>
        <w:t xml:space="preserve"> towards </w:t>
      </w:r>
      <w:r w:rsidR="00BD4F1F" w:rsidRPr="00600AFD">
        <w:rPr>
          <w:rFonts w:ascii="Times New Roman" w:hAnsi="Times New Roman" w:cs="Times New Roman"/>
          <w:szCs w:val="24"/>
        </w:rPr>
        <w:t xml:space="preserve">bringing together </w:t>
      </w:r>
      <w:r w:rsidR="0065560C" w:rsidRPr="00600AFD">
        <w:rPr>
          <w:rFonts w:ascii="Times New Roman" w:hAnsi="Times New Roman" w:cs="Times New Roman"/>
          <w:szCs w:val="24"/>
        </w:rPr>
        <w:t>and</w:t>
      </w:r>
      <w:r w:rsidR="002F6933" w:rsidRPr="00600AFD">
        <w:rPr>
          <w:rFonts w:ascii="Times New Roman" w:hAnsi="Times New Roman" w:cs="Times New Roman"/>
          <w:szCs w:val="24"/>
        </w:rPr>
        <w:t xml:space="preserve"> </w:t>
      </w:r>
      <w:r w:rsidR="00327131" w:rsidRPr="00600AFD">
        <w:rPr>
          <w:rFonts w:ascii="Times New Roman" w:hAnsi="Times New Roman" w:cs="Times New Roman"/>
          <w:szCs w:val="24"/>
        </w:rPr>
        <w:t xml:space="preserve">rendering </w:t>
      </w:r>
      <w:r w:rsidR="00127CB3" w:rsidRPr="00600AFD">
        <w:rPr>
          <w:rFonts w:ascii="Times New Roman" w:hAnsi="Times New Roman" w:cs="Times New Roman"/>
          <w:szCs w:val="24"/>
        </w:rPr>
        <w:t xml:space="preserve">these mechanisms </w:t>
      </w:r>
      <w:r w:rsidR="00327131" w:rsidRPr="00600AFD">
        <w:rPr>
          <w:rFonts w:ascii="Times New Roman" w:hAnsi="Times New Roman" w:cs="Times New Roman"/>
          <w:szCs w:val="24"/>
        </w:rPr>
        <w:t xml:space="preserve">uniform in </w:t>
      </w:r>
      <w:r w:rsidR="00E6511B" w:rsidRPr="00600AFD">
        <w:rPr>
          <w:rFonts w:ascii="Times New Roman" w:hAnsi="Times New Roman" w:cs="Times New Roman"/>
          <w:szCs w:val="24"/>
        </w:rPr>
        <w:t xml:space="preserve">order to </w:t>
      </w:r>
      <w:r w:rsidR="000C2149" w:rsidRPr="00600AFD">
        <w:rPr>
          <w:rFonts w:ascii="Times New Roman" w:hAnsi="Times New Roman" w:cs="Times New Roman"/>
          <w:szCs w:val="24"/>
        </w:rPr>
        <w:t xml:space="preserve">alleviate the </w:t>
      </w:r>
      <w:r w:rsidR="00D80BBA" w:rsidRPr="00600AFD">
        <w:rPr>
          <w:rFonts w:ascii="Times New Roman" w:hAnsi="Times New Roman" w:cs="Times New Roman"/>
          <w:szCs w:val="24"/>
        </w:rPr>
        <w:t xml:space="preserve">resulting </w:t>
      </w:r>
      <w:r w:rsidR="000C2149" w:rsidRPr="00600AFD">
        <w:rPr>
          <w:rFonts w:ascii="Times New Roman" w:hAnsi="Times New Roman" w:cs="Times New Roman"/>
          <w:szCs w:val="24"/>
        </w:rPr>
        <w:t>burden</w:t>
      </w:r>
      <w:r w:rsidR="00D80BBA" w:rsidRPr="00600AFD">
        <w:rPr>
          <w:rFonts w:ascii="Times New Roman" w:hAnsi="Times New Roman" w:cs="Times New Roman"/>
          <w:szCs w:val="24"/>
        </w:rPr>
        <w:t>s</w:t>
      </w:r>
      <w:r w:rsidR="000C2149" w:rsidRPr="00600AFD">
        <w:rPr>
          <w:rFonts w:ascii="Times New Roman" w:hAnsi="Times New Roman" w:cs="Times New Roman"/>
          <w:szCs w:val="24"/>
        </w:rPr>
        <w:t xml:space="preserve"> </w:t>
      </w:r>
      <w:r w:rsidR="006D10B9" w:rsidRPr="00600AFD">
        <w:rPr>
          <w:rFonts w:ascii="Times New Roman" w:hAnsi="Times New Roman" w:cs="Times New Roman"/>
          <w:szCs w:val="24"/>
        </w:rPr>
        <w:t xml:space="preserve">weighing </w:t>
      </w:r>
      <w:r w:rsidR="00F507EE" w:rsidRPr="00600AFD">
        <w:rPr>
          <w:rFonts w:ascii="Times New Roman" w:hAnsi="Times New Roman" w:cs="Times New Roman"/>
          <w:szCs w:val="24"/>
        </w:rPr>
        <w:t xml:space="preserve">down </w:t>
      </w:r>
      <w:r w:rsidR="00FE290E" w:rsidRPr="00600AFD">
        <w:rPr>
          <w:rFonts w:ascii="Times New Roman" w:hAnsi="Times New Roman" w:cs="Times New Roman"/>
          <w:szCs w:val="24"/>
        </w:rPr>
        <w:t>administrative capacities</w:t>
      </w:r>
      <w:r w:rsidR="000C2149" w:rsidRPr="00600AFD">
        <w:rPr>
          <w:rFonts w:ascii="Times New Roman" w:hAnsi="Times New Roman" w:cs="Times New Roman"/>
          <w:szCs w:val="24"/>
        </w:rPr>
        <w:t xml:space="preserve">. </w:t>
      </w:r>
    </w:p>
    <w:p w14:paraId="61CF7B38" w14:textId="5FB661EF" w:rsidR="00D97653" w:rsidRPr="00600AFD" w:rsidRDefault="00F147F6" w:rsidP="00D708A9">
      <w:pPr>
        <w:spacing w:line="276" w:lineRule="auto"/>
        <w:rPr>
          <w:rFonts w:ascii="Times New Roman" w:hAnsi="Times New Roman" w:cs="Times New Roman"/>
          <w:szCs w:val="24"/>
        </w:rPr>
      </w:pPr>
      <w:r w:rsidRPr="00600AFD">
        <w:rPr>
          <w:rFonts w:ascii="Times New Roman" w:hAnsi="Times New Roman" w:cs="Times New Roman"/>
          <w:szCs w:val="24"/>
        </w:rPr>
        <w:t xml:space="preserve">The </w:t>
      </w:r>
      <w:r w:rsidR="00A210B5" w:rsidRPr="00600AFD">
        <w:rPr>
          <w:rFonts w:ascii="Times New Roman" w:hAnsi="Times New Roman" w:cs="Times New Roman"/>
          <w:szCs w:val="24"/>
        </w:rPr>
        <w:t>analysis of the results achieved in the implementation of the National Judicial Reform Strategy for the 2013</w:t>
      </w:r>
      <w:r w:rsidR="000F3999">
        <w:rPr>
          <w:rFonts w:ascii="Times New Roman" w:hAnsi="Times New Roman" w:cs="Times New Roman"/>
          <w:szCs w:val="24"/>
        </w:rPr>
        <w:t>–</w:t>
      </w:r>
      <w:r w:rsidR="00A210B5" w:rsidRPr="00600AFD">
        <w:rPr>
          <w:rFonts w:ascii="Times New Roman" w:hAnsi="Times New Roman" w:cs="Times New Roman"/>
          <w:szCs w:val="24"/>
        </w:rPr>
        <w:t>2018 period</w:t>
      </w:r>
      <w:r w:rsidR="0083043B" w:rsidRPr="00600AFD">
        <w:rPr>
          <w:rFonts w:ascii="Times New Roman" w:hAnsi="Times New Roman" w:cs="Times New Roman"/>
          <w:szCs w:val="24"/>
        </w:rPr>
        <w:t xml:space="preserve"> and </w:t>
      </w:r>
      <w:r w:rsidR="00F64AD6" w:rsidRPr="00600AFD">
        <w:rPr>
          <w:rFonts w:ascii="Times New Roman" w:hAnsi="Times New Roman" w:cs="Times New Roman"/>
          <w:szCs w:val="24"/>
        </w:rPr>
        <w:t xml:space="preserve">the fulfilment of measures stipulated in the </w:t>
      </w:r>
      <w:r w:rsidR="0075176A" w:rsidRPr="00600AFD">
        <w:rPr>
          <w:rFonts w:ascii="Times New Roman" w:hAnsi="Times New Roman" w:cs="Times New Roman"/>
          <w:szCs w:val="24"/>
        </w:rPr>
        <w:t>Strategy’s Action Plan</w:t>
      </w:r>
      <w:r w:rsidR="00616F1B" w:rsidRPr="00600AFD">
        <w:rPr>
          <w:rFonts w:ascii="Times New Roman" w:hAnsi="Times New Roman" w:cs="Times New Roman"/>
          <w:szCs w:val="24"/>
        </w:rPr>
        <w:t xml:space="preserve"> point</w:t>
      </w:r>
      <w:r w:rsidR="009158DC" w:rsidRPr="00600AFD">
        <w:rPr>
          <w:rFonts w:ascii="Times New Roman" w:hAnsi="Times New Roman" w:cs="Times New Roman"/>
          <w:szCs w:val="24"/>
        </w:rPr>
        <w:t xml:space="preserve"> to a need for further advancement and </w:t>
      </w:r>
      <w:r w:rsidR="00817E83" w:rsidRPr="00600AFD">
        <w:rPr>
          <w:rFonts w:ascii="Times New Roman" w:hAnsi="Times New Roman" w:cs="Times New Roman"/>
          <w:szCs w:val="24"/>
        </w:rPr>
        <w:t xml:space="preserve">development </w:t>
      </w:r>
      <w:r w:rsidR="00C6312C" w:rsidRPr="00600AFD">
        <w:rPr>
          <w:rFonts w:ascii="Times New Roman" w:hAnsi="Times New Roman" w:cs="Times New Roman"/>
          <w:szCs w:val="24"/>
        </w:rPr>
        <w:t xml:space="preserve">of the judiciary. </w:t>
      </w:r>
    </w:p>
    <w:p w14:paraId="35142B9E" w14:textId="047D92F6" w:rsidR="00916942" w:rsidRPr="00600AFD" w:rsidRDefault="00424DEA" w:rsidP="00CF44E2">
      <w:pPr>
        <w:spacing w:line="276" w:lineRule="auto"/>
        <w:rPr>
          <w:rFonts w:ascii="Times New Roman" w:hAnsi="Times New Roman" w:cs="Times New Roman"/>
          <w:i/>
          <w:szCs w:val="24"/>
        </w:rPr>
      </w:pPr>
      <w:r w:rsidRPr="00600AFD">
        <w:rPr>
          <w:rFonts w:ascii="Times New Roman" w:hAnsi="Times New Roman" w:cs="Times New Roman"/>
          <w:szCs w:val="24"/>
        </w:rPr>
        <w:t xml:space="preserve">Development processes planned for the </w:t>
      </w:r>
      <w:r w:rsidR="000F3999">
        <w:rPr>
          <w:rFonts w:ascii="Times New Roman" w:hAnsi="Times New Roman" w:cs="Times New Roman"/>
          <w:szCs w:val="24"/>
        </w:rPr>
        <w:t>2020–2025</w:t>
      </w:r>
      <w:r w:rsidRPr="00600AFD">
        <w:rPr>
          <w:rFonts w:ascii="Times New Roman" w:hAnsi="Times New Roman" w:cs="Times New Roman"/>
          <w:szCs w:val="24"/>
        </w:rPr>
        <w:t xml:space="preserve"> period </w:t>
      </w:r>
      <w:r w:rsidR="000F3999" w:rsidRPr="00600AFD">
        <w:rPr>
          <w:rFonts w:ascii="Times New Roman" w:hAnsi="Times New Roman" w:cs="Times New Roman"/>
          <w:szCs w:val="24"/>
        </w:rPr>
        <w:t>is</w:t>
      </w:r>
      <w:r w:rsidRPr="00600AFD">
        <w:rPr>
          <w:rFonts w:ascii="Times New Roman" w:hAnsi="Times New Roman" w:cs="Times New Roman"/>
          <w:szCs w:val="24"/>
        </w:rPr>
        <w:t xml:space="preserve"> defined </w:t>
      </w:r>
      <w:r w:rsidR="00CC5E72" w:rsidRPr="00600AFD">
        <w:rPr>
          <w:rFonts w:ascii="Times New Roman" w:hAnsi="Times New Roman" w:cs="Times New Roman"/>
          <w:szCs w:val="24"/>
        </w:rPr>
        <w:t>by the need for further</w:t>
      </w:r>
      <w:r w:rsidR="001D49A5" w:rsidRPr="00600AFD">
        <w:rPr>
          <w:rFonts w:ascii="Times New Roman" w:hAnsi="Times New Roman" w:cs="Times New Roman"/>
          <w:szCs w:val="24"/>
        </w:rPr>
        <w:t xml:space="preserve"> advancement of the judiciary’s functioning, on one hand, </w:t>
      </w:r>
      <w:r w:rsidR="007A52D0" w:rsidRPr="00600AFD">
        <w:rPr>
          <w:rFonts w:ascii="Times New Roman" w:hAnsi="Times New Roman" w:cs="Times New Roman"/>
          <w:szCs w:val="24"/>
        </w:rPr>
        <w:t xml:space="preserve">and interim benchmarks as part of Chapter 23, on the other hand. </w:t>
      </w:r>
      <w:r w:rsidR="000F7983" w:rsidRPr="00600AFD">
        <w:rPr>
          <w:rFonts w:ascii="Times New Roman" w:hAnsi="Times New Roman" w:cs="Times New Roman"/>
          <w:szCs w:val="24"/>
        </w:rPr>
        <w:t xml:space="preserve">The Law on Planning System </w:t>
      </w:r>
      <w:r w:rsidR="00EC5739" w:rsidRPr="00600AFD">
        <w:rPr>
          <w:rFonts w:ascii="Times New Roman" w:hAnsi="Times New Roman" w:cs="Times New Roman"/>
          <w:szCs w:val="24"/>
        </w:rPr>
        <w:t xml:space="preserve">of the Republic of Serbia (article 18, para. 7) provides for </w:t>
      </w:r>
      <w:r w:rsidR="00F21B18" w:rsidRPr="00600AFD">
        <w:rPr>
          <w:rFonts w:ascii="Times New Roman" w:hAnsi="Times New Roman" w:cs="Times New Roman"/>
          <w:szCs w:val="24"/>
        </w:rPr>
        <w:t xml:space="preserve">a possibility that the national strategies’ implementation be </w:t>
      </w:r>
      <w:r w:rsidR="005562D8" w:rsidRPr="00600AFD">
        <w:rPr>
          <w:rFonts w:ascii="Times New Roman" w:hAnsi="Times New Roman" w:cs="Times New Roman"/>
          <w:szCs w:val="24"/>
        </w:rPr>
        <w:t xml:space="preserve">regulated by multiple action plans </w:t>
      </w:r>
      <w:r w:rsidR="003D2CA5" w:rsidRPr="00600AFD">
        <w:rPr>
          <w:rFonts w:ascii="Times New Roman" w:hAnsi="Times New Roman" w:cs="Times New Roman"/>
          <w:szCs w:val="24"/>
        </w:rPr>
        <w:t xml:space="preserve">with </w:t>
      </w:r>
      <w:r w:rsidR="002A4F93" w:rsidRPr="00600AFD">
        <w:rPr>
          <w:rFonts w:ascii="Times New Roman" w:hAnsi="Times New Roman" w:cs="Times New Roman"/>
          <w:szCs w:val="24"/>
        </w:rPr>
        <w:t xml:space="preserve">a </w:t>
      </w:r>
      <w:r w:rsidR="003D2CA5" w:rsidRPr="00600AFD">
        <w:rPr>
          <w:rFonts w:ascii="Times New Roman" w:hAnsi="Times New Roman" w:cs="Times New Roman"/>
          <w:szCs w:val="24"/>
        </w:rPr>
        <w:t>shorter</w:t>
      </w:r>
      <w:r w:rsidR="002A4F93" w:rsidRPr="00600AFD">
        <w:rPr>
          <w:rFonts w:ascii="Times New Roman" w:hAnsi="Times New Roman" w:cs="Times New Roman"/>
          <w:szCs w:val="24"/>
        </w:rPr>
        <w:t xml:space="preserve"> implementation period. </w:t>
      </w:r>
      <w:r w:rsidR="00C74940" w:rsidRPr="00600AFD">
        <w:rPr>
          <w:rFonts w:ascii="Times New Roman" w:hAnsi="Times New Roman" w:cs="Times New Roman"/>
          <w:szCs w:val="24"/>
        </w:rPr>
        <w:t xml:space="preserve">Consequently, the </w:t>
      </w:r>
      <w:r w:rsidR="000F3999">
        <w:rPr>
          <w:rFonts w:ascii="Times New Roman" w:hAnsi="Times New Roman" w:cs="Times New Roman"/>
          <w:szCs w:val="24"/>
        </w:rPr>
        <w:t>2020–2025</w:t>
      </w:r>
      <w:r w:rsidR="00C74940" w:rsidRPr="00600AFD">
        <w:rPr>
          <w:rFonts w:ascii="Times New Roman" w:hAnsi="Times New Roman" w:cs="Times New Roman"/>
          <w:szCs w:val="24"/>
        </w:rPr>
        <w:t xml:space="preserve"> D</w:t>
      </w:r>
      <w:r w:rsidR="004A2D5B" w:rsidRPr="00600AFD">
        <w:rPr>
          <w:rFonts w:ascii="Times New Roman" w:hAnsi="Times New Roman" w:cs="Times New Roman"/>
          <w:szCs w:val="24"/>
        </w:rPr>
        <w:t xml:space="preserve">JS </w:t>
      </w:r>
      <w:r w:rsidR="003C62D8" w:rsidRPr="00600AFD">
        <w:rPr>
          <w:rFonts w:ascii="Times New Roman" w:hAnsi="Times New Roman" w:cs="Times New Roman"/>
          <w:szCs w:val="24"/>
        </w:rPr>
        <w:t xml:space="preserve">shall be partly implemented through a revised </w:t>
      </w:r>
      <w:r w:rsidR="005E05FB" w:rsidRPr="00600AFD">
        <w:rPr>
          <w:rFonts w:ascii="Times New Roman" w:hAnsi="Times New Roman" w:cs="Times New Roman"/>
          <w:szCs w:val="24"/>
        </w:rPr>
        <w:t>Chapter 23 Action Plan</w:t>
      </w:r>
      <w:r w:rsidR="00911458" w:rsidRPr="00600AFD">
        <w:rPr>
          <w:rFonts w:ascii="Times New Roman" w:hAnsi="Times New Roman" w:cs="Times New Roman"/>
          <w:szCs w:val="24"/>
        </w:rPr>
        <w:t xml:space="preserve"> </w:t>
      </w:r>
      <w:r w:rsidR="0089263D" w:rsidRPr="00600AFD">
        <w:rPr>
          <w:rFonts w:ascii="Times New Roman" w:hAnsi="Times New Roman" w:cs="Times New Roman"/>
          <w:szCs w:val="24"/>
        </w:rPr>
        <w:t>that</w:t>
      </w:r>
      <w:r w:rsidR="00911458" w:rsidRPr="00600AFD">
        <w:rPr>
          <w:rFonts w:ascii="Times New Roman" w:hAnsi="Times New Roman" w:cs="Times New Roman"/>
          <w:szCs w:val="24"/>
        </w:rPr>
        <w:t xml:space="preserve"> is designed to attain the interim benchmarks. Bearing in mind</w:t>
      </w:r>
      <w:r w:rsidR="00E34CAD" w:rsidRPr="00600AFD">
        <w:rPr>
          <w:rFonts w:ascii="Times New Roman" w:hAnsi="Times New Roman" w:cs="Times New Roman"/>
          <w:szCs w:val="24"/>
        </w:rPr>
        <w:t xml:space="preserve"> the fact that the Chapter 23 Action Plan</w:t>
      </w:r>
      <w:r w:rsidR="00ED6640" w:rsidRPr="00600AFD">
        <w:rPr>
          <w:rFonts w:ascii="Times New Roman" w:hAnsi="Times New Roman" w:cs="Times New Roman"/>
          <w:szCs w:val="24"/>
        </w:rPr>
        <w:t>’s implementation is limited to the 2019</w:t>
      </w:r>
      <w:r w:rsidR="000F3999">
        <w:rPr>
          <w:rFonts w:ascii="Times New Roman" w:hAnsi="Times New Roman" w:cs="Times New Roman"/>
          <w:szCs w:val="24"/>
        </w:rPr>
        <w:t>–</w:t>
      </w:r>
      <w:r w:rsidR="00ED6640" w:rsidRPr="00600AFD">
        <w:rPr>
          <w:rFonts w:ascii="Times New Roman" w:hAnsi="Times New Roman" w:cs="Times New Roman"/>
          <w:szCs w:val="24"/>
        </w:rPr>
        <w:t>2021 period</w:t>
      </w:r>
      <w:r w:rsidR="00531CEE" w:rsidRPr="00600AFD">
        <w:rPr>
          <w:rFonts w:ascii="Times New Roman" w:hAnsi="Times New Roman" w:cs="Times New Roman"/>
          <w:szCs w:val="24"/>
        </w:rPr>
        <w:t xml:space="preserve">, the second half of the </w:t>
      </w:r>
      <w:r w:rsidR="000F3999">
        <w:rPr>
          <w:rFonts w:ascii="Times New Roman" w:hAnsi="Times New Roman" w:cs="Times New Roman"/>
          <w:szCs w:val="24"/>
        </w:rPr>
        <w:t>2020–2025</w:t>
      </w:r>
      <w:r w:rsidR="00531CEE" w:rsidRPr="00600AFD">
        <w:rPr>
          <w:rFonts w:ascii="Times New Roman" w:hAnsi="Times New Roman" w:cs="Times New Roman"/>
          <w:szCs w:val="24"/>
        </w:rPr>
        <w:t xml:space="preserve"> DJS implementation </w:t>
      </w:r>
      <w:r w:rsidR="00772C8E" w:rsidRPr="00600AFD">
        <w:rPr>
          <w:rFonts w:ascii="Times New Roman" w:hAnsi="Times New Roman" w:cs="Times New Roman"/>
          <w:szCs w:val="24"/>
        </w:rPr>
        <w:t>shall be regulated in detail by a new revis</w:t>
      </w:r>
      <w:r w:rsidR="00916942" w:rsidRPr="00600AFD">
        <w:rPr>
          <w:rFonts w:ascii="Times New Roman" w:hAnsi="Times New Roman" w:cs="Times New Roman"/>
          <w:szCs w:val="24"/>
        </w:rPr>
        <w:t>ion of the</w:t>
      </w:r>
      <w:r w:rsidR="00772C8E" w:rsidRPr="00600AFD">
        <w:rPr>
          <w:rFonts w:ascii="Times New Roman" w:hAnsi="Times New Roman" w:cs="Times New Roman"/>
          <w:szCs w:val="24"/>
        </w:rPr>
        <w:t xml:space="preserve"> </w:t>
      </w:r>
      <w:r w:rsidR="00E026A9" w:rsidRPr="00600AFD">
        <w:rPr>
          <w:rFonts w:ascii="Times New Roman" w:hAnsi="Times New Roman" w:cs="Times New Roman"/>
          <w:szCs w:val="24"/>
        </w:rPr>
        <w:t>Chapter 23 Action Plan</w:t>
      </w:r>
      <w:r w:rsidR="00916942" w:rsidRPr="00600AFD">
        <w:rPr>
          <w:rFonts w:ascii="Times New Roman" w:hAnsi="Times New Roman" w:cs="Times New Roman"/>
          <w:szCs w:val="24"/>
        </w:rPr>
        <w:t xml:space="preserve"> that will be adopted after the mentioned period</w:t>
      </w:r>
      <w:r w:rsidR="00E026A9" w:rsidRPr="00600AFD">
        <w:rPr>
          <w:rFonts w:ascii="Times New Roman" w:hAnsi="Times New Roman" w:cs="Times New Roman"/>
          <w:szCs w:val="24"/>
        </w:rPr>
        <w:t xml:space="preserve">. </w:t>
      </w:r>
      <w:r w:rsidR="00A7088B" w:rsidRPr="00600AFD">
        <w:rPr>
          <w:rFonts w:ascii="Times New Roman" w:hAnsi="Times New Roman" w:cs="Times New Roman"/>
          <w:szCs w:val="24"/>
        </w:rPr>
        <w:t xml:space="preserve">The expectation </w:t>
      </w:r>
      <w:r w:rsidR="00E57EFE" w:rsidRPr="00600AFD">
        <w:rPr>
          <w:rFonts w:ascii="Times New Roman" w:hAnsi="Times New Roman" w:cs="Times New Roman"/>
          <w:szCs w:val="24"/>
        </w:rPr>
        <w:t>is that</w:t>
      </w:r>
      <w:r w:rsidR="001A0FB3" w:rsidRPr="00600AFD">
        <w:rPr>
          <w:rFonts w:ascii="Times New Roman" w:hAnsi="Times New Roman" w:cs="Times New Roman"/>
          <w:szCs w:val="24"/>
        </w:rPr>
        <w:t xml:space="preserve">, </w:t>
      </w:r>
      <w:r w:rsidR="00E57EFE" w:rsidRPr="00600AFD">
        <w:rPr>
          <w:rFonts w:ascii="Times New Roman" w:hAnsi="Times New Roman" w:cs="Times New Roman"/>
          <w:szCs w:val="24"/>
        </w:rPr>
        <w:t>in the negotiation process</w:t>
      </w:r>
      <w:r w:rsidR="001A0FB3" w:rsidRPr="00600AFD">
        <w:rPr>
          <w:rFonts w:ascii="Times New Roman" w:hAnsi="Times New Roman" w:cs="Times New Roman"/>
          <w:szCs w:val="24"/>
        </w:rPr>
        <w:t xml:space="preserve"> for accession to the European Union, </w:t>
      </w:r>
      <w:r w:rsidR="00E57FC4" w:rsidRPr="00600AFD">
        <w:rPr>
          <w:rFonts w:ascii="Times New Roman" w:hAnsi="Times New Roman" w:cs="Times New Roman"/>
          <w:szCs w:val="24"/>
        </w:rPr>
        <w:t xml:space="preserve">the </w:t>
      </w:r>
      <w:r w:rsidR="00EE6EF2" w:rsidRPr="00600AFD">
        <w:rPr>
          <w:rFonts w:ascii="Times New Roman" w:hAnsi="Times New Roman" w:cs="Times New Roman"/>
          <w:szCs w:val="24"/>
        </w:rPr>
        <w:t xml:space="preserve">final benchmarks </w:t>
      </w:r>
      <w:r w:rsidR="00344B52" w:rsidRPr="00600AFD">
        <w:rPr>
          <w:rFonts w:ascii="Times New Roman" w:hAnsi="Times New Roman" w:cs="Times New Roman"/>
          <w:szCs w:val="24"/>
        </w:rPr>
        <w:t xml:space="preserve">will be </w:t>
      </w:r>
      <w:r w:rsidR="00916942" w:rsidRPr="00600AFD">
        <w:rPr>
          <w:rFonts w:ascii="Times New Roman" w:hAnsi="Times New Roman" w:cs="Times New Roman"/>
          <w:szCs w:val="24"/>
        </w:rPr>
        <w:t xml:space="preserve">set in </w:t>
      </w:r>
      <w:r w:rsidR="00344B52" w:rsidRPr="00600AFD">
        <w:rPr>
          <w:rFonts w:ascii="Times New Roman" w:hAnsi="Times New Roman" w:cs="Times New Roman"/>
          <w:szCs w:val="24"/>
        </w:rPr>
        <w:t>the new or revised Chapter 23 Action Plan</w:t>
      </w:r>
      <w:r w:rsidR="00916942" w:rsidRPr="00600AFD">
        <w:rPr>
          <w:rFonts w:ascii="Times New Roman" w:hAnsi="Times New Roman" w:cs="Times New Roman"/>
          <w:szCs w:val="24"/>
        </w:rPr>
        <w:t xml:space="preserve">. Implementation and monitoring of DJS </w:t>
      </w:r>
      <w:r w:rsidR="000F3999">
        <w:rPr>
          <w:rFonts w:ascii="Times New Roman" w:hAnsi="Times New Roman" w:cs="Times New Roman"/>
          <w:szCs w:val="24"/>
        </w:rPr>
        <w:t>2020–2025</w:t>
      </w:r>
      <w:r w:rsidR="00916942" w:rsidRPr="00600AFD">
        <w:rPr>
          <w:rFonts w:ascii="Times New Roman" w:hAnsi="Times New Roman" w:cs="Times New Roman"/>
          <w:szCs w:val="24"/>
        </w:rPr>
        <w:t xml:space="preserve"> in this way, shall lead to </w:t>
      </w:r>
      <w:r w:rsidR="00572314" w:rsidRPr="00600AFD">
        <w:rPr>
          <w:rFonts w:ascii="Times New Roman" w:hAnsi="Times New Roman" w:cs="Times New Roman"/>
          <w:szCs w:val="24"/>
        </w:rPr>
        <w:t>consolida</w:t>
      </w:r>
      <w:r w:rsidR="00916942" w:rsidRPr="00600AFD">
        <w:rPr>
          <w:rFonts w:ascii="Times New Roman" w:hAnsi="Times New Roman" w:cs="Times New Roman"/>
          <w:szCs w:val="24"/>
        </w:rPr>
        <w:t>tion of resources</w:t>
      </w:r>
      <w:r w:rsidR="00B3303F" w:rsidRPr="00600AFD">
        <w:rPr>
          <w:rFonts w:ascii="Times New Roman" w:hAnsi="Times New Roman" w:cs="Times New Roman"/>
          <w:szCs w:val="24"/>
        </w:rPr>
        <w:t xml:space="preserve"> and </w:t>
      </w:r>
      <w:r w:rsidR="00916942" w:rsidRPr="00600AFD">
        <w:rPr>
          <w:rFonts w:ascii="Times New Roman" w:hAnsi="Times New Roman" w:cs="Times New Roman"/>
          <w:szCs w:val="24"/>
        </w:rPr>
        <w:t xml:space="preserve">the </w:t>
      </w:r>
      <w:r w:rsidR="00B3303F" w:rsidRPr="00600AFD">
        <w:rPr>
          <w:rFonts w:ascii="Times New Roman" w:hAnsi="Times New Roman" w:cs="Times New Roman"/>
          <w:szCs w:val="24"/>
        </w:rPr>
        <w:t>duplication and overlapping of strategic documents</w:t>
      </w:r>
      <w:r w:rsidR="00916942" w:rsidRPr="00600AFD">
        <w:rPr>
          <w:rFonts w:ascii="Times New Roman" w:hAnsi="Times New Roman" w:cs="Times New Roman"/>
          <w:szCs w:val="24"/>
        </w:rPr>
        <w:t xml:space="preserve"> will be avoided in the contrast to</w:t>
      </w:r>
      <w:r w:rsidR="00A6223C" w:rsidRPr="00600AFD">
        <w:rPr>
          <w:rFonts w:ascii="Times New Roman" w:hAnsi="Times New Roman" w:cs="Times New Roman"/>
          <w:szCs w:val="24"/>
        </w:rPr>
        <w:t xml:space="preserve"> the pre</w:t>
      </w:r>
      <w:r w:rsidR="005A3962" w:rsidRPr="00600AFD">
        <w:rPr>
          <w:rFonts w:ascii="Times New Roman" w:hAnsi="Times New Roman" w:cs="Times New Roman"/>
          <w:szCs w:val="24"/>
        </w:rPr>
        <w:t>vious period</w:t>
      </w:r>
      <w:r w:rsidR="004272F9" w:rsidRPr="00600AFD">
        <w:rPr>
          <w:rFonts w:ascii="Times New Roman" w:hAnsi="Times New Roman" w:cs="Times New Roman"/>
          <w:szCs w:val="24"/>
        </w:rPr>
        <w:t xml:space="preserve">. </w:t>
      </w:r>
    </w:p>
    <w:p w14:paraId="4462155A" w14:textId="52A58586" w:rsidR="00916942" w:rsidRPr="00600AFD" w:rsidRDefault="000F3999" w:rsidP="00CF44E2">
      <w:pPr>
        <w:spacing w:line="276" w:lineRule="auto"/>
        <w:rPr>
          <w:rFonts w:ascii="Times New Roman" w:hAnsi="Times New Roman" w:cs="Times New Roman"/>
          <w:szCs w:val="24"/>
        </w:rPr>
      </w:pPr>
      <w:r w:rsidRPr="00600AFD">
        <w:rPr>
          <w:rFonts w:ascii="Times New Roman" w:hAnsi="Times New Roman" w:cs="Times New Roman"/>
          <w:noProof/>
          <w:szCs w:val="24"/>
        </w:rPr>
        <mc:AlternateContent>
          <mc:Choice Requires="wps">
            <w:drawing>
              <wp:anchor distT="0" distB="0" distL="114300" distR="114300" simplePos="0" relativeHeight="251668481" behindDoc="0" locked="0" layoutInCell="1" allowOverlap="1" wp14:anchorId="33005566" wp14:editId="2ED8FD3A">
                <wp:simplePos x="0" y="0"/>
                <wp:positionH relativeFrom="column">
                  <wp:posOffset>0</wp:posOffset>
                </wp:positionH>
                <wp:positionV relativeFrom="paragraph">
                  <wp:posOffset>304165</wp:posOffset>
                </wp:positionV>
                <wp:extent cx="1828800" cy="1828800"/>
                <wp:effectExtent l="0" t="0" r="12700" b="22225"/>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17FE5F3" w14:textId="77777777" w:rsidR="000F3999" w:rsidRPr="000F3999" w:rsidRDefault="000F3999" w:rsidP="000F3999">
                            <w:pPr>
                              <w:spacing w:line="276" w:lineRule="auto"/>
                              <w:rPr>
                                <w:rFonts w:ascii="Times New Roman" w:hAnsi="Times New Roman" w:cs="Times New Roman"/>
                              </w:rPr>
                            </w:pPr>
                            <w:r w:rsidRPr="000F3999">
                              <w:rPr>
                                <w:rFonts w:ascii="Times New Roman" w:hAnsi="Times New Roman" w:cs="Times New Roman"/>
                              </w:rPr>
                              <w:t xml:space="preserve">Given that multiple measures in the Strategy set a comprehensive and complex framework for further development of the judiciary, Serbia also needs to commit to key strategic priorities on that path. </w:t>
                            </w:r>
                            <w:r w:rsidRPr="000F3999">
                              <w:rPr>
                                <w:rFonts w:ascii="Times New Roman" w:hAnsi="Times New Roman" w:cs="Times New Roman"/>
                                <w:b/>
                                <w:bCs/>
                              </w:rPr>
                              <w:t>Strategic priorities are as follows: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005566" id="_x0000_t202" coordsize="21600,21600" o:spt="202" path="m,l,21600r21600,l21600,xe">
                <v:stroke joinstyle="miter"/>
                <v:path gradientshapeok="t" o:connecttype="rect"/>
              </v:shapetype>
              <v:shape id="Text Box 9" o:spid="_x0000_s1026" type="#_x0000_t202" style="position:absolute;left:0;text-align:left;margin-left:0;margin-top:23.95pt;width:2in;height:2in;z-index:25166848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" filled="f" strokeweight=".5pt">
                <v:textbox style="mso-fit-shape-to-text:t">
                  <w:txbxContent>
                    <w:p w14:paraId="717FE5F3" w14:textId="77777777" w:rsidR="000F3999" w:rsidRPr="000F3999" w:rsidRDefault="000F3999" w:rsidP="000F3999">
                      <w:pPr>
                        <w:spacing w:line="276" w:lineRule="auto"/>
                        <w:rPr>
                          <w:rFonts w:ascii="Times New Roman" w:hAnsi="Times New Roman" w:cs="Times New Roman"/>
                        </w:rPr>
                      </w:pPr>
                      <w:r w:rsidRPr="000F3999">
                        <w:rPr>
                          <w:rFonts w:ascii="Times New Roman" w:hAnsi="Times New Roman" w:cs="Times New Roman"/>
                        </w:rPr>
                        <w:t xml:space="preserve">Given that multiple measures in the Strategy set a comprehensive and complex framework for further development of the judiciary, Serbia also needs to commit to key strategic priorities on that path. </w:t>
                      </w:r>
                      <w:r w:rsidRPr="000F3999">
                        <w:rPr>
                          <w:rFonts w:ascii="Times New Roman" w:hAnsi="Times New Roman" w:cs="Times New Roman"/>
                          <w:b/>
                          <w:bCs/>
                        </w:rPr>
                        <w:t>Strategic priorities are as follows:</w:t>
                      </w:r>
                    </w:p>
                  </w:txbxContent>
                </v:textbox>
                <w10:wrap type="square"/>
              </v:shape>
            </w:pict>
          </mc:Fallback>
        </mc:AlternateContent>
      </w:r>
    </w:p>
    <w:p w14:paraId="51CA76EE" w14:textId="77777777" w:rsidR="00147D6A" w:rsidRDefault="00147D6A" w:rsidP="00916942">
      <w:pPr>
        <w:spacing w:line="276" w:lineRule="auto"/>
        <w:rPr>
          <w:rFonts w:ascii="Times New Roman" w:hAnsi="Times New Roman" w:cs="Times New Roman"/>
          <w:szCs w:val="24"/>
        </w:rPr>
      </w:pPr>
    </w:p>
    <w:p w14:paraId="45E04483" w14:textId="5AD5A93D" w:rsidR="00916942" w:rsidRPr="00600AFD" w:rsidRDefault="00916942" w:rsidP="00916942">
      <w:pPr>
        <w:spacing w:line="276" w:lineRule="auto"/>
        <w:rPr>
          <w:rFonts w:ascii="Times New Roman" w:hAnsi="Times New Roman" w:cs="Times New Roman"/>
          <w:szCs w:val="24"/>
        </w:rPr>
      </w:pPr>
      <w:r w:rsidRPr="00600AFD">
        <w:rPr>
          <w:rFonts w:ascii="Times New Roman" w:hAnsi="Times New Roman" w:cs="Times New Roman"/>
          <w:szCs w:val="24"/>
        </w:rPr>
        <w:t>1.</w:t>
      </w:r>
      <w:r w:rsidRPr="00600AFD">
        <w:rPr>
          <w:rFonts w:ascii="Times New Roman" w:hAnsi="Times New Roman" w:cs="Times New Roman"/>
          <w:szCs w:val="24"/>
        </w:rPr>
        <w:tab/>
      </w:r>
      <w:r w:rsidRPr="00600AFD">
        <w:rPr>
          <w:rFonts w:ascii="Times New Roman" w:hAnsi="Times New Roman" w:cs="Times New Roman"/>
          <w:b/>
          <w:bCs/>
          <w:szCs w:val="24"/>
        </w:rPr>
        <w:t>further strengthening of judicial independence and prosecutorial autonomy</w:t>
      </w:r>
      <w:r w:rsidRPr="00600AFD">
        <w:rPr>
          <w:rFonts w:ascii="Times New Roman" w:hAnsi="Times New Roman" w:cs="Times New Roman"/>
          <w:szCs w:val="24"/>
        </w:rPr>
        <w:t xml:space="preserve"> through an enhanced normative and institutional framework specifying the application of adopted criteria and standards for an objective, transparent, and results</w:t>
      </w:r>
      <w:r w:rsidR="000F3999">
        <w:rPr>
          <w:rFonts w:ascii="Times New Roman" w:hAnsi="Times New Roman" w:cs="Times New Roman"/>
          <w:szCs w:val="24"/>
        </w:rPr>
        <w:t>–</w:t>
      </w:r>
      <w:r w:rsidRPr="00600AFD">
        <w:rPr>
          <w:rFonts w:ascii="Times New Roman" w:hAnsi="Times New Roman" w:cs="Times New Roman"/>
          <w:szCs w:val="24"/>
        </w:rPr>
        <w:t>based system for election of judicial office holders and elective members of the High</w:t>
      </w:r>
      <w:r w:rsidR="00F814F9" w:rsidRPr="00600AFD">
        <w:rPr>
          <w:rFonts w:ascii="Times New Roman" w:hAnsi="Times New Roman" w:cs="Times New Roman"/>
          <w:szCs w:val="24"/>
        </w:rPr>
        <w:t xml:space="preserve"> Court</w:t>
      </w:r>
      <w:r w:rsidR="00D60333" w:rsidRPr="00600AFD">
        <w:rPr>
          <w:rFonts w:ascii="Times New Roman" w:hAnsi="Times New Roman" w:cs="Times New Roman"/>
          <w:szCs w:val="24"/>
        </w:rPr>
        <w:t xml:space="preserve"> </w:t>
      </w:r>
      <w:r w:rsidRPr="00600AFD">
        <w:rPr>
          <w:rFonts w:ascii="Times New Roman" w:hAnsi="Times New Roman" w:cs="Times New Roman"/>
          <w:szCs w:val="24"/>
        </w:rPr>
        <w:t xml:space="preserve">Council and the State Prosecutorial Council from the ranks of judges and deputy public prosecutors, respectively; criteria for promotion and performance appraisal of judges and prosecutors; and strengthening of professional and personnel capacities of courts and public prosecutors’ offices, the High </w:t>
      </w:r>
      <w:r w:rsidR="00F814F9" w:rsidRPr="00600AFD">
        <w:rPr>
          <w:rFonts w:ascii="Times New Roman" w:hAnsi="Times New Roman" w:cs="Times New Roman"/>
          <w:szCs w:val="24"/>
        </w:rPr>
        <w:t>Court</w:t>
      </w:r>
      <w:r w:rsidR="00D60333" w:rsidRPr="00600AFD">
        <w:rPr>
          <w:rFonts w:ascii="Times New Roman" w:hAnsi="Times New Roman" w:cs="Times New Roman"/>
          <w:szCs w:val="24"/>
        </w:rPr>
        <w:t xml:space="preserve"> </w:t>
      </w:r>
      <w:r w:rsidRPr="00600AFD">
        <w:rPr>
          <w:rFonts w:ascii="Times New Roman" w:hAnsi="Times New Roman" w:cs="Times New Roman"/>
          <w:szCs w:val="24"/>
        </w:rPr>
        <w:t>Council and the State Prosecutorial Council;</w:t>
      </w:r>
    </w:p>
    <w:p w14:paraId="47B12756" w14:textId="72998874" w:rsidR="00916942" w:rsidRPr="00600AFD" w:rsidRDefault="00916942" w:rsidP="00916942">
      <w:pPr>
        <w:spacing w:line="276" w:lineRule="auto"/>
        <w:rPr>
          <w:rFonts w:ascii="Times New Roman" w:hAnsi="Times New Roman" w:cs="Times New Roman"/>
          <w:szCs w:val="24"/>
        </w:rPr>
      </w:pPr>
      <w:r w:rsidRPr="00600AFD">
        <w:rPr>
          <w:rFonts w:ascii="Times New Roman" w:hAnsi="Times New Roman" w:cs="Times New Roman"/>
          <w:szCs w:val="24"/>
        </w:rPr>
        <w:t>2.</w:t>
      </w:r>
      <w:r w:rsidRPr="00600AFD">
        <w:rPr>
          <w:rFonts w:ascii="Times New Roman" w:hAnsi="Times New Roman" w:cs="Times New Roman"/>
          <w:szCs w:val="24"/>
        </w:rPr>
        <w:tab/>
      </w:r>
      <w:r w:rsidRPr="00600AFD">
        <w:rPr>
          <w:rFonts w:ascii="Times New Roman" w:hAnsi="Times New Roman" w:cs="Times New Roman"/>
          <w:b/>
          <w:bCs/>
          <w:szCs w:val="24"/>
        </w:rPr>
        <w:t>further strengthening of integrity</w:t>
      </w:r>
      <w:r w:rsidRPr="00600AFD">
        <w:rPr>
          <w:rFonts w:ascii="Times New Roman" w:hAnsi="Times New Roman" w:cs="Times New Roman"/>
          <w:szCs w:val="24"/>
        </w:rPr>
        <w:t xml:space="preserve"> of judicial office holders and members of the High </w:t>
      </w:r>
      <w:r w:rsidR="00F814F9" w:rsidRPr="00600AFD">
        <w:rPr>
          <w:rFonts w:ascii="Times New Roman" w:hAnsi="Times New Roman" w:cs="Times New Roman"/>
          <w:szCs w:val="24"/>
        </w:rPr>
        <w:t>Court</w:t>
      </w:r>
      <w:r w:rsidR="00D60333" w:rsidRPr="00600AFD">
        <w:rPr>
          <w:rFonts w:ascii="Times New Roman" w:hAnsi="Times New Roman" w:cs="Times New Roman"/>
          <w:szCs w:val="24"/>
        </w:rPr>
        <w:t xml:space="preserve"> </w:t>
      </w:r>
      <w:r w:rsidRPr="00600AFD">
        <w:rPr>
          <w:rFonts w:ascii="Times New Roman" w:hAnsi="Times New Roman" w:cs="Times New Roman"/>
          <w:szCs w:val="24"/>
        </w:rPr>
        <w:t xml:space="preserve">Council and the State Prosecutorial Council through adherence to ethical principles, as well </w:t>
      </w:r>
      <w:r w:rsidRPr="00600AFD">
        <w:rPr>
          <w:rFonts w:ascii="Times New Roman" w:hAnsi="Times New Roman" w:cs="Times New Roman"/>
          <w:szCs w:val="24"/>
        </w:rPr>
        <w:lastRenderedPageBreak/>
        <w:t>as enhancement of the accountability of the judicial system by way of strengthening the mechanism for professional responsibility of judges and public prosecutors and deputy public prosecutors through monitoring the results of disciplinary organs’; further strengthening of ethical committees in monitoring the compliance with the provisions of the ethical codes of conduct, including also the promotion of ethical principles and the importance of self</w:t>
      </w:r>
      <w:r w:rsidR="000F3999">
        <w:rPr>
          <w:rFonts w:ascii="Times New Roman" w:hAnsi="Times New Roman" w:cs="Times New Roman"/>
          <w:szCs w:val="24"/>
        </w:rPr>
        <w:t>–</w:t>
      </w:r>
      <w:r w:rsidRPr="00600AFD">
        <w:rPr>
          <w:rFonts w:ascii="Times New Roman" w:hAnsi="Times New Roman" w:cs="Times New Roman"/>
          <w:szCs w:val="24"/>
        </w:rPr>
        <w:t>appraisal in terms of professional conduct; as well as further strengthening of impartiality of judicial office holders through a consistent application of the principle of random case assignment;</w:t>
      </w:r>
    </w:p>
    <w:p w14:paraId="723EEE99" w14:textId="03EB96E3" w:rsidR="00916942" w:rsidRPr="00600AFD" w:rsidRDefault="00916942" w:rsidP="00916942">
      <w:pPr>
        <w:spacing w:line="276" w:lineRule="auto"/>
        <w:rPr>
          <w:rFonts w:ascii="Times New Roman" w:hAnsi="Times New Roman" w:cs="Times New Roman"/>
          <w:szCs w:val="24"/>
        </w:rPr>
      </w:pPr>
      <w:r w:rsidRPr="00600AFD">
        <w:rPr>
          <w:rFonts w:ascii="Times New Roman" w:hAnsi="Times New Roman" w:cs="Times New Roman"/>
          <w:szCs w:val="24"/>
        </w:rPr>
        <w:t>3.</w:t>
      </w:r>
      <w:r w:rsidRPr="00600AFD">
        <w:rPr>
          <w:rFonts w:ascii="Times New Roman" w:hAnsi="Times New Roman" w:cs="Times New Roman"/>
          <w:szCs w:val="24"/>
        </w:rPr>
        <w:tab/>
      </w:r>
      <w:r w:rsidRPr="00600AFD">
        <w:rPr>
          <w:rFonts w:ascii="Times New Roman" w:hAnsi="Times New Roman" w:cs="Times New Roman"/>
          <w:b/>
          <w:bCs/>
          <w:szCs w:val="24"/>
        </w:rPr>
        <w:t>further increase in quality of the judicial system</w:t>
      </w:r>
      <w:r w:rsidRPr="00600AFD">
        <w:rPr>
          <w:rFonts w:ascii="Times New Roman" w:hAnsi="Times New Roman" w:cs="Times New Roman"/>
          <w:szCs w:val="24"/>
        </w:rPr>
        <w:t xml:space="preserve"> by strengthening the competences and capabilities of judicial office holders and employees in the judiciary; defining the role and position of the Judicial Academy and strengthening its capacities so as to establish in its entirety the mechanism for entry into judiciary based on results achieved, as well as transparency and equity, and by continuing with successful implementation of initial and continuous training; </w:t>
      </w:r>
    </w:p>
    <w:p w14:paraId="7354540C" w14:textId="40EEA2F5" w:rsidR="00916942" w:rsidRPr="00600AFD" w:rsidRDefault="00916942" w:rsidP="00916942">
      <w:pPr>
        <w:spacing w:line="276" w:lineRule="auto"/>
        <w:rPr>
          <w:rFonts w:ascii="Times New Roman" w:hAnsi="Times New Roman" w:cs="Times New Roman"/>
          <w:szCs w:val="24"/>
        </w:rPr>
      </w:pPr>
      <w:r w:rsidRPr="00600AFD">
        <w:rPr>
          <w:rFonts w:ascii="Times New Roman" w:hAnsi="Times New Roman" w:cs="Times New Roman"/>
          <w:szCs w:val="24"/>
        </w:rPr>
        <w:t>4.</w:t>
      </w:r>
      <w:r w:rsidRPr="00600AFD">
        <w:rPr>
          <w:rFonts w:ascii="Times New Roman" w:hAnsi="Times New Roman" w:cs="Times New Roman"/>
          <w:szCs w:val="24"/>
        </w:rPr>
        <w:tab/>
      </w:r>
      <w:r w:rsidRPr="00600AFD">
        <w:rPr>
          <w:rFonts w:ascii="Times New Roman" w:hAnsi="Times New Roman" w:cs="Times New Roman"/>
          <w:b/>
          <w:bCs/>
          <w:szCs w:val="24"/>
        </w:rPr>
        <w:t>further increase the level of efficiency of the judicial system</w:t>
      </w:r>
      <w:r w:rsidRPr="00600AFD">
        <w:rPr>
          <w:rFonts w:ascii="Times New Roman" w:hAnsi="Times New Roman" w:cs="Times New Roman"/>
          <w:szCs w:val="24"/>
        </w:rPr>
        <w:t xml:space="preserve"> through an analysis and adaptation of the judicial network; reduction in the total number of pending cases with an emphasis on backlog cases and prevention of emergence of additional backlog cases; accessibility of legal regulations and creation of mechanisms for establishing and publishing uniform case law pertinent to courts and public prosecutors’ offices; advancement of the free legal aid system through monitoring the implementation of Law on Free Legal Aid by lawyers; advancement of the court administration system and judicial management; advancement of alternative methods for dispute resolution; and development of IT systems in the judiciary aimed at establishing a modern e</w:t>
      </w:r>
      <w:r w:rsidR="000F3999">
        <w:rPr>
          <w:rFonts w:ascii="Times New Roman" w:hAnsi="Times New Roman" w:cs="Times New Roman"/>
          <w:szCs w:val="24"/>
        </w:rPr>
        <w:t>–</w:t>
      </w:r>
      <w:r w:rsidRPr="00600AFD">
        <w:rPr>
          <w:rFonts w:ascii="Times New Roman" w:hAnsi="Times New Roman" w:cs="Times New Roman"/>
          <w:szCs w:val="24"/>
        </w:rPr>
        <w:t>judiciary;</w:t>
      </w:r>
    </w:p>
    <w:p w14:paraId="0DBF0468" w14:textId="2FC1A7BF" w:rsidR="00916942" w:rsidRPr="00600AFD" w:rsidRDefault="00916942" w:rsidP="00916942">
      <w:pPr>
        <w:spacing w:line="276" w:lineRule="auto"/>
        <w:rPr>
          <w:rFonts w:ascii="Times New Roman" w:hAnsi="Times New Roman" w:cs="Times New Roman"/>
          <w:szCs w:val="24"/>
        </w:rPr>
      </w:pPr>
      <w:r w:rsidRPr="00600AFD">
        <w:rPr>
          <w:rFonts w:ascii="Times New Roman" w:hAnsi="Times New Roman" w:cs="Times New Roman"/>
          <w:szCs w:val="24"/>
        </w:rPr>
        <w:t>5.</w:t>
      </w:r>
      <w:r w:rsidRPr="00600AFD">
        <w:rPr>
          <w:rFonts w:ascii="Times New Roman" w:hAnsi="Times New Roman" w:cs="Times New Roman"/>
          <w:szCs w:val="24"/>
        </w:rPr>
        <w:tab/>
      </w:r>
      <w:r w:rsidRPr="00600AFD">
        <w:rPr>
          <w:rFonts w:ascii="Times New Roman" w:hAnsi="Times New Roman" w:cs="Times New Roman"/>
          <w:b/>
          <w:bCs/>
          <w:szCs w:val="24"/>
        </w:rPr>
        <w:t>increase of the level of public trust in the work of judiciary</w:t>
      </w:r>
      <w:r w:rsidRPr="00600AFD">
        <w:rPr>
          <w:rFonts w:ascii="Times New Roman" w:hAnsi="Times New Roman" w:cs="Times New Roman"/>
          <w:szCs w:val="24"/>
        </w:rPr>
        <w:t xml:space="preserve"> through accessibility of judicial institutions and continuous transparency of their work, which entails better functionality of judicial institutions’ web pages, consistent implementation of judicial institutions’ communication strategies, and introduction of the practice of holding regular press conferences where the work of both courts and prosecutors’ offices, and the High </w:t>
      </w:r>
      <w:r w:rsidR="00F814F9" w:rsidRPr="00600AFD">
        <w:rPr>
          <w:rFonts w:ascii="Times New Roman" w:hAnsi="Times New Roman" w:cs="Times New Roman"/>
          <w:szCs w:val="24"/>
        </w:rPr>
        <w:t>Court</w:t>
      </w:r>
      <w:r w:rsidR="00D60333" w:rsidRPr="00600AFD">
        <w:rPr>
          <w:rFonts w:ascii="Times New Roman" w:hAnsi="Times New Roman" w:cs="Times New Roman"/>
          <w:szCs w:val="24"/>
        </w:rPr>
        <w:t xml:space="preserve"> </w:t>
      </w:r>
      <w:r w:rsidRPr="00600AFD">
        <w:rPr>
          <w:rFonts w:ascii="Times New Roman" w:hAnsi="Times New Roman" w:cs="Times New Roman"/>
          <w:szCs w:val="24"/>
        </w:rPr>
        <w:t>Council and the State Prosecutorial Council, as well as the Judicial Academy, is presented.</w:t>
      </w:r>
    </w:p>
    <w:p w14:paraId="5B760A8D" w14:textId="15BEFD55" w:rsidR="004F7A34" w:rsidRPr="00600AFD" w:rsidRDefault="00916942" w:rsidP="00F40D25">
      <w:pPr>
        <w:pStyle w:val="Heading1"/>
        <w:numPr>
          <w:ilvl w:val="0"/>
          <w:numId w:val="29"/>
        </w:numPr>
        <w:rPr>
          <w:rFonts w:ascii="Times New Roman" w:hAnsi="Times New Roman"/>
          <w:sz w:val="24"/>
        </w:rPr>
      </w:pPr>
      <w:bookmarkStart w:id="4" w:name="_Toc39707747"/>
      <w:r w:rsidRPr="00600AFD">
        <w:rPr>
          <w:rFonts w:ascii="Times New Roman" w:hAnsi="Times New Roman"/>
          <w:sz w:val="24"/>
        </w:rPr>
        <w:t>STRATEGY’S VISION AND OBJECTIVES</w:t>
      </w:r>
      <w:bookmarkEnd w:id="4"/>
    </w:p>
    <w:p w14:paraId="54142D58" w14:textId="1D208B71" w:rsidR="00916942" w:rsidRPr="00600AFD" w:rsidRDefault="00916942" w:rsidP="00916942">
      <w:pPr>
        <w:spacing w:line="276" w:lineRule="auto"/>
        <w:rPr>
          <w:rFonts w:ascii="Times New Roman" w:hAnsi="Times New Roman" w:cs="Times New Roman"/>
          <w:szCs w:val="24"/>
        </w:rPr>
      </w:pPr>
      <w:r w:rsidRPr="00600AFD">
        <w:rPr>
          <w:rFonts w:ascii="Times New Roman" w:hAnsi="Times New Roman" w:cs="Times New Roman"/>
          <w:szCs w:val="24"/>
        </w:rPr>
        <w:t>All the aforementioned steps accomplished and successfully implemented processes thus far have a significant impact on the framework and scope of this new Strategy, which should define a set of development objectives and measures necessary for the judiciary to attain the standards set as a prerequisite for the Republic of Serbia’s accession to the European Union (hereinafter referred to as ‘EU’). The Analysis of the National Judicial Reform Strategy Implementation for 2013</w:t>
      </w:r>
      <w:r w:rsidR="000F3999">
        <w:rPr>
          <w:rFonts w:ascii="Times New Roman" w:hAnsi="Times New Roman" w:cs="Times New Roman"/>
          <w:szCs w:val="24"/>
        </w:rPr>
        <w:t>–</w:t>
      </w:r>
      <w:r w:rsidRPr="00600AFD">
        <w:rPr>
          <w:rFonts w:ascii="Times New Roman" w:hAnsi="Times New Roman" w:cs="Times New Roman"/>
          <w:szCs w:val="24"/>
        </w:rPr>
        <w:t xml:space="preserve">2018 </w:t>
      </w:r>
      <w:r w:rsidRPr="00600AFD">
        <w:rPr>
          <w:rStyle w:val="FootnoteReference"/>
          <w:rFonts w:ascii="Times New Roman" w:hAnsi="Times New Roman" w:cs="Times New Roman"/>
          <w:szCs w:val="24"/>
        </w:rPr>
        <w:footnoteReference w:id="14"/>
      </w:r>
      <w:r w:rsidRPr="00600AFD">
        <w:rPr>
          <w:rFonts w:ascii="Times New Roman" w:hAnsi="Times New Roman" w:cs="Times New Roman"/>
          <w:szCs w:val="24"/>
        </w:rPr>
        <w:t xml:space="preserve">, and reports by the Council for AP23 Implementation and interim benchmarks contained in the EU’s Negotiation Position for Chapter 23, constitute the basis for objectives and measures defined in </w:t>
      </w:r>
      <w:r w:rsidR="00AE79E4" w:rsidRPr="00600AFD">
        <w:rPr>
          <w:rFonts w:ascii="Times New Roman" w:hAnsi="Times New Roman" w:cs="Times New Roman"/>
          <w:szCs w:val="24"/>
        </w:rPr>
        <w:t>JDS</w:t>
      </w:r>
      <w:r w:rsidRPr="00600AFD">
        <w:rPr>
          <w:rFonts w:ascii="Times New Roman" w:hAnsi="Times New Roman" w:cs="Times New Roman"/>
          <w:szCs w:val="24"/>
        </w:rPr>
        <w:t xml:space="preserve"> </w:t>
      </w:r>
      <w:r w:rsidR="000F3999">
        <w:rPr>
          <w:rFonts w:ascii="Times New Roman" w:hAnsi="Times New Roman" w:cs="Times New Roman"/>
          <w:szCs w:val="24"/>
        </w:rPr>
        <w:t>2020–2025</w:t>
      </w:r>
      <w:r w:rsidRPr="00600AFD">
        <w:rPr>
          <w:rFonts w:ascii="Times New Roman" w:hAnsi="Times New Roman" w:cs="Times New Roman"/>
          <w:szCs w:val="24"/>
        </w:rPr>
        <w:t xml:space="preserve">. </w:t>
      </w:r>
    </w:p>
    <w:p w14:paraId="251C62CF" w14:textId="528C8272" w:rsidR="00916942" w:rsidRPr="00600AFD" w:rsidRDefault="00916942" w:rsidP="00916942">
      <w:pPr>
        <w:spacing w:line="276" w:lineRule="auto"/>
        <w:rPr>
          <w:rFonts w:ascii="Times New Roman" w:hAnsi="Times New Roman" w:cs="Times New Roman"/>
          <w:szCs w:val="24"/>
        </w:rPr>
      </w:pPr>
      <w:r w:rsidRPr="00600AFD">
        <w:rPr>
          <w:rFonts w:ascii="Times New Roman" w:hAnsi="Times New Roman" w:cs="Times New Roman"/>
          <w:szCs w:val="24"/>
        </w:rPr>
        <w:lastRenderedPageBreak/>
        <w:t xml:space="preserve">The Strategy’s structure encompasses its vision, general objective, and specific objectives and measures that are formulated within the framework of internationally recognized principles in this field (independence, impartiality and accountability, competence, and efficiency). These principles are identical to the principles in AP23 in the field of judiciary, </w:t>
      </w:r>
      <w:proofErr w:type="gramStart"/>
      <w:r w:rsidRPr="00600AFD">
        <w:rPr>
          <w:rFonts w:ascii="Times New Roman" w:hAnsi="Times New Roman" w:cs="Times New Roman"/>
          <w:szCs w:val="24"/>
        </w:rPr>
        <w:t>and also</w:t>
      </w:r>
      <w:proofErr w:type="gramEnd"/>
      <w:r w:rsidRPr="00600AFD">
        <w:rPr>
          <w:rFonts w:ascii="Times New Roman" w:hAnsi="Times New Roman" w:cs="Times New Roman"/>
          <w:szCs w:val="24"/>
        </w:rPr>
        <w:t xml:space="preserve"> include two horizontal principles – transparency and e</w:t>
      </w:r>
      <w:r w:rsidR="000F3999">
        <w:rPr>
          <w:rFonts w:ascii="Times New Roman" w:hAnsi="Times New Roman" w:cs="Times New Roman"/>
          <w:szCs w:val="24"/>
        </w:rPr>
        <w:t>–</w:t>
      </w:r>
      <w:r w:rsidRPr="00600AFD">
        <w:rPr>
          <w:rFonts w:ascii="Times New Roman" w:hAnsi="Times New Roman" w:cs="Times New Roman"/>
          <w:szCs w:val="24"/>
        </w:rPr>
        <w:t>judiciary –that constitute a cross</w:t>
      </w:r>
      <w:r w:rsidR="000F3999">
        <w:rPr>
          <w:rFonts w:ascii="Times New Roman" w:hAnsi="Times New Roman" w:cs="Times New Roman"/>
          <w:szCs w:val="24"/>
        </w:rPr>
        <w:t>–</w:t>
      </w:r>
      <w:r w:rsidRPr="00600AFD">
        <w:rPr>
          <w:rFonts w:ascii="Times New Roman" w:hAnsi="Times New Roman" w:cs="Times New Roman"/>
          <w:szCs w:val="24"/>
        </w:rPr>
        <w:t xml:space="preserve">cutting structure without which further development and establishment of a modern judiciary is inconceivable. </w:t>
      </w:r>
    </w:p>
    <w:p w14:paraId="3B19D61F" w14:textId="65F93BC1" w:rsidR="00916942" w:rsidRPr="00600AFD" w:rsidRDefault="00916942" w:rsidP="00916942">
      <w:pPr>
        <w:rPr>
          <w:rFonts w:ascii="Times New Roman" w:hAnsi="Times New Roman" w:cs="Times New Roman"/>
          <w:szCs w:val="24"/>
        </w:rPr>
      </w:pPr>
      <w:r w:rsidRPr="00600AFD">
        <w:rPr>
          <w:rFonts w:ascii="Times New Roman" w:hAnsi="Times New Roman" w:cs="Times New Roman"/>
          <w:noProof/>
          <w:szCs w:val="24"/>
        </w:rPr>
        <mc:AlternateContent>
          <mc:Choice Requires="wpg">
            <w:drawing>
              <wp:anchor distT="0" distB="0" distL="114300" distR="114300" simplePos="0" relativeHeight="251664385" behindDoc="0" locked="0" layoutInCell="1" allowOverlap="1" wp14:anchorId="61B36140" wp14:editId="4DBEB78C">
                <wp:simplePos x="0" y="0"/>
                <wp:positionH relativeFrom="column">
                  <wp:posOffset>0</wp:posOffset>
                </wp:positionH>
                <wp:positionV relativeFrom="paragraph">
                  <wp:posOffset>286385</wp:posOffset>
                </wp:positionV>
                <wp:extent cx="5857875" cy="6359525"/>
                <wp:effectExtent l="0" t="0" r="9525" b="3175"/>
                <wp:wrapSquare wrapText="bothSides"/>
                <wp:docPr id="34" name="Group 2"/>
                <wp:cNvGraphicFramePr/>
                <a:graphic xmlns:a="http://schemas.openxmlformats.org/drawingml/2006/main">
                  <a:graphicData uri="http://schemas.microsoft.com/office/word/2010/wordprocessingGroup">
                    <wpg:wgp>
                      <wpg:cNvGrpSpPr/>
                      <wpg:grpSpPr>
                        <a:xfrm>
                          <a:off x="0" y="0"/>
                          <a:ext cx="5857875" cy="6359525"/>
                          <a:chOff x="0" y="-180993"/>
                          <a:chExt cx="5857877" cy="6360086"/>
                        </a:xfrm>
                      </wpg:grpSpPr>
                      <wps:wsp>
                        <wps:cNvPr id="35" name="Partial Circle 3"/>
                        <wps:cNvSpPr/>
                        <wps:spPr>
                          <a:xfrm rot="10800000">
                            <a:off x="9524" y="-180993"/>
                            <a:ext cx="5848350" cy="2320640"/>
                          </a:xfrm>
                          <a:prstGeom prst="pie">
                            <a:avLst>
                              <a:gd name="adj1" fmla="val 0"/>
                              <a:gd name="adj2" fmla="val 10812389"/>
                            </a:avLst>
                          </a:prstGeom>
                          <a:solidFill>
                            <a:srgbClr val="4472C4">
                              <a:lumMod val="75000"/>
                            </a:srgbClr>
                          </a:solidFill>
                          <a:ln w="28575" cap="flat" cmpd="sng" algn="ctr">
                            <a:noFill/>
                            <a:prstDash val="solid"/>
                            <a:miter lim="800000"/>
                          </a:ln>
                          <a:effectLst/>
                        </wps:spPr>
                        <wps:bodyPr rot="0" spcFirstLastPara="0" vert="horz" wrap="square" lIns="132080" tIns="66040" rIns="132080" bIns="66040" numCol="1" spcCol="0" rtlCol="0" fromWordArt="0" anchor="ctr" anchorCtr="0" forceAA="0" compatLnSpc="1">
                          <a:prstTxWarp prst="textNoShape">
                            <a:avLst/>
                          </a:prstTxWarp>
                          <a:noAutofit/>
                        </wps:bodyPr>
                      </wps:wsp>
                      <wps:wsp>
                        <wps:cNvPr id="36" name="Rectangle 36"/>
                        <wps:cNvSpPr/>
                        <wps:spPr>
                          <a:xfrm>
                            <a:off x="9527" y="1022504"/>
                            <a:ext cx="5848350" cy="1157774"/>
                          </a:xfrm>
                          <a:prstGeom prst="rect">
                            <a:avLst/>
                          </a:prstGeom>
                          <a:solidFill>
                            <a:srgbClr val="4472C4">
                              <a:lumMod val="75000"/>
                            </a:srgbClr>
                          </a:solidFill>
                          <a:ln w="28575" cap="flat" cmpd="sng" algn="ctr">
                            <a:noFill/>
                            <a:prstDash val="solid"/>
                            <a:miter lim="800000"/>
                          </a:ln>
                          <a:effectLst/>
                        </wps:spPr>
                        <wps:txbx>
                          <w:txbxContent>
                            <w:p w14:paraId="3EB9E1ED" w14:textId="77777777"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u w:val="single"/>
                                  <w14:shadow w14:blurRad="38100" w14:dist="38100" w14:dir="2700000" w14:sx="100000" w14:sy="100000" w14:kx="0" w14:ky="0" w14:algn="tl">
                                    <w14:srgbClr w14:val="000000">
                                      <w14:alpha w14:val="57000"/>
                                    </w14:srgbClr>
                                  </w14:shadow>
                                </w:rPr>
                                <w:t>General Objective</w:t>
                              </w:r>
                              <w:r w:rsidRPr="00BE782F">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 </w:t>
                              </w:r>
                            </w:p>
                            <w:p w14:paraId="7C1D0B46" w14:textId="1745C258"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Further strengthening of </w:t>
                              </w:r>
                              <w:r>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the </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rule of law (</w:t>
                              </w:r>
                              <w:proofErr w:type="spellStart"/>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Rechtsstaat</w:t>
                              </w:r>
                              <w:proofErr w:type="spellEnd"/>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access to justice, and legal certainty for the purpose of </w:t>
                              </w:r>
                              <w:proofErr w:type="gramStart"/>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an</w:t>
                              </w:r>
                              <w:proofErr w:type="gramEnd"/>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quality and efficient</w:t>
                              </w:r>
                              <w:r w:rsidRPr="00BE782F" w:rsidDel="00916942">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realization of the protection of rights and freedoms of citizens, and raising the level of trust in the judicial system</w:t>
                              </w:r>
                            </w:p>
                          </w:txbxContent>
                        </wps:txbx>
                        <wps:bodyPr rot="0" spcFirstLastPara="0" vert="horz" wrap="square" lIns="132080" tIns="66040" rIns="132080" bIns="66040" numCol="1" spcCol="0" rtlCol="0" fromWordArt="0" anchor="t" anchorCtr="0" forceAA="0" compatLnSpc="1">
                          <a:prstTxWarp prst="textNoShape">
                            <a:avLst/>
                          </a:prstTxWarp>
                          <a:noAutofit/>
                        </wps:bodyPr>
                      </wps:wsp>
                      <wps:wsp>
                        <wps:cNvPr id="37" name="Rectangle 37"/>
                        <wps:cNvSpPr/>
                        <wps:spPr>
                          <a:xfrm>
                            <a:off x="9524" y="2234484"/>
                            <a:ext cx="3067515" cy="407838"/>
                          </a:xfrm>
                          <a:prstGeom prst="rect">
                            <a:avLst/>
                          </a:prstGeom>
                          <a:solidFill>
                            <a:srgbClr val="4472C4">
                              <a:lumMod val="60000"/>
                              <a:lumOff val="40000"/>
                            </a:srgbClr>
                          </a:solidFill>
                          <a:ln w="28575" cap="flat" cmpd="sng" algn="ctr">
                            <a:noFill/>
                            <a:prstDash val="solid"/>
                            <a:miter lim="800000"/>
                          </a:ln>
                          <a:effectLst/>
                        </wps:spPr>
                        <wps:txbx>
                          <w:txbxContent>
                            <w:p w14:paraId="0725703E" w14:textId="77777777" w:rsidR="00600AFD" w:rsidRDefault="00600AFD" w:rsidP="00916942">
                              <w:pPr>
                                <w:pStyle w:val="NormalWeb"/>
                                <w:spacing w:before="0" w:beforeAutospacing="0" w:after="0" w:afterAutospacing="0"/>
                                <w:jc w:val="center"/>
                              </w:pPr>
                              <w:r>
                                <w:rPr>
                                  <w:rFonts w:ascii="Cambria" w:eastAsia="Cambria" w:hAnsi="Cambria" w:cstheme="minorBidi"/>
                                  <w:color w:val="000000" w:themeColor="text1"/>
                                  <w:kern w:val="24"/>
                                  <w:u w:val="single"/>
                                </w:rPr>
                                <w:t>Specific Objectives</w:t>
                              </w:r>
                              <w:r>
                                <w:rPr>
                                  <w:rFonts w:ascii="Cambria" w:eastAsia="Cambria" w:hAnsi="Cambria" w:cstheme="minorBidi"/>
                                  <w:color w:val="000000" w:themeColor="text1"/>
                                  <w:kern w:val="24"/>
                                  <w:u w:val="single"/>
                                  <w:lang w:val="sr-Cyrl-RS"/>
                                </w:rPr>
                                <w:t>:</w:t>
                              </w:r>
                            </w:p>
                          </w:txbxContent>
                        </wps:txbx>
                        <wps:bodyPr rot="0" spcFirstLastPara="0" vert="horz" wrap="square" lIns="132080" tIns="66040" rIns="132080" bIns="66040" numCol="1" spcCol="0" rtlCol="0" fromWordArt="0" anchor="ctr" anchorCtr="0" forceAA="0" compatLnSpc="1">
                          <a:prstTxWarp prst="textNoShape">
                            <a:avLst/>
                          </a:prstTxWarp>
                          <a:noAutofit/>
                        </wps:bodyPr>
                      </wps:wsp>
                      <wps:wsp>
                        <wps:cNvPr id="38" name="TextBox 1"/>
                        <wps:cNvSpPr txBox="1"/>
                        <wps:spPr>
                          <a:xfrm>
                            <a:off x="159343" y="207804"/>
                            <a:ext cx="5548630" cy="692785"/>
                          </a:xfrm>
                          <a:prstGeom prst="rect">
                            <a:avLst/>
                          </a:prstGeom>
                          <a:noFill/>
                        </wps:spPr>
                        <wps:txbx>
                          <w:txbxContent>
                            <w:p w14:paraId="04E47DE9" w14:textId="77777777"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u w:val="single"/>
                                  <w14:shadow w14:blurRad="38100" w14:dist="38100" w14:dir="2700000" w14:sx="100000" w14:sy="100000" w14:kx="0" w14:ky="0" w14:algn="tl">
                                    <w14:srgbClr w14:val="000000">
                                      <w14:alpha w14:val="57000"/>
                                    </w14:srgbClr>
                                  </w14:shadow>
                                </w:rPr>
                                <w:t>Vision</w:t>
                              </w:r>
                              <w:r w:rsidRPr="00BE782F">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 </w:t>
                              </w:r>
                            </w:p>
                            <w:p w14:paraId="4CBF1222" w14:textId="50C91DFB"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Independent and autonomous, modern and accountable</w:t>
                              </w:r>
                              <w:r w:rsidRPr="00BE782F" w:rsidDel="00916942">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judiciary, open to</w:t>
                              </w:r>
                              <w:r>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wards</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the citizens and society</w:t>
                              </w:r>
                            </w:p>
                          </w:txbxContent>
                        </wps:txbx>
                        <wps:bodyPr wrap="square" rtlCol="0">
                          <a:spAutoFit/>
                        </wps:bodyPr>
                      </wps:wsp>
                      <wps:wsp>
                        <wps:cNvPr id="39" name="Rectangle 39"/>
                        <wps:cNvSpPr/>
                        <wps:spPr>
                          <a:xfrm>
                            <a:off x="0" y="5627674"/>
                            <a:ext cx="3079433" cy="551419"/>
                          </a:xfrm>
                          <a:prstGeom prst="rect">
                            <a:avLst/>
                          </a:prstGeom>
                          <a:solidFill>
                            <a:srgbClr val="4472C4">
                              <a:lumMod val="60000"/>
                              <a:lumOff val="40000"/>
                            </a:srgbClr>
                          </a:solidFill>
                          <a:ln w="28575" cap="flat" cmpd="sng" algn="ctr">
                            <a:noFill/>
                            <a:prstDash val="solid"/>
                            <a:miter lim="800000"/>
                          </a:ln>
                          <a:effectLst/>
                        </wps:spPr>
                        <wps:txbx>
                          <w:txbxContent>
                            <w:p w14:paraId="5DA2D524"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6. </w:t>
                              </w:r>
                              <w:r>
                                <w:rPr>
                                  <w:rFonts w:ascii="Cambria" w:eastAsia="Cambria" w:hAnsi="Cambria" w:cstheme="minorBidi"/>
                                  <w:color w:val="000000" w:themeColor="text1"/>
                                  <w:kern w:val="24"/>
                                </w:rPr>
                                <w:t>Advancement of transparency and accessibility of judiciary</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0" name="Rectangle 40"/>
                        <wps:cNvSpPr/>
                        <wps:spPr>
                          <a:xfrm>
                            <a:off x="9524" y="2679869"/>
                            <a:ext cx="3070597" cy="551416"/>
                          </a:xfrm>
                          <a:prstGeom prst="rect">
                            <a:avLst/>
                          </a:prstGeom>
                          <a:solidFill>
                            <a:srgbClr val="4472C4">
                              <a:lumMod val="60000"/>
                              <a:lumOff val="40000"/>
                            </a:srgbClr>
                          </a:solidFill>
                          <a:ln w="28575" cap="flat" cmpd="sng" algn="ctr">
                            <a:noFill/>
                            <a:prstDash val="solid"/>
                            <a:miter lim="800000"/>
                          </a:ln>
                          <a:effectLst/>
                        </wps:spPr>
                        <wps:txbx>
                          <w:txbxContent>
                            <w:p w14:paraId="4DE24340"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1. </w:t>
                              </w:r>
                              <w:r>
                                <w:rPr>
                                  <w:rFonts w:ascii="Cambria" w:eastAsia="Cambria" w:hAnsi="Cambria" w:cstheme="minorBidi"/>
                                  <w:color w:val="000000" w:themeColor="text1"/>
                                  <w:kern w:val="24"/>
                                </w:rPr>
                                <w:t xml:space="preserve">Strengthening judiciary’s independence and autonomy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1" name="Rectangle 41"/>
                        <wps:cNvSpPr/>
                        <wps:spPr>
                          <a:xfrm>
                            <a:off x="6836" y="3262798"/>
                            <a:ext cx="3073686" cy="551416"/>
                          </a:xfrm>
                          <a:prstGeom prst="rect">
                            <a:avLst/>
                          </a:prstGeom>
                          <a:solidFill>
                            <a:srgbClr val="4472C4">
                              <a:lumMod val="60000"/>
                              <a:lumOff val="40000"/>
                            </a:srgbClr>
                          </a:solidFill>
                          <a:ln w="28575" cap="flat" cmpd="sng" algn="ctr">
                            <a:noFill/>
                            <a:prstDash val="solid"/>
                            <a:miter lim="800000"/>
                          </a:ln>
                          <a:effectLst/>
                        </wps:spPr>
                        <wps:txbx>
                          <w:txbxContent>
                            <w:p w14:paraId="744940FA"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2. </w:t>
                              </w:r>
                              <w:r>
                                <w:rPr>
                                  <w:rFonts w:ascii="Cambria" w:eastAsia="Cambria" w:hAnsi="Cambria" w:cstheme="minorBidi"/>
                                  <w:color w:val="000000" w:themeColor="text1"/>
                                  <w:kern w:val="24"/>
                                </w:rPr>
                                <w:t>Advancement of judiciary’s impartiality and accountability</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2" name="Rectangle 42"/>
                        <wps:cNvSpPr/>
                        <wps:spPr>
                          <a:xfrm>
                            <a:off x="5499" y="3849177"/>
                            <a:ext cx="3073687" cy="551418"/>
                          </a:xfrm>
                          <a:prstGeom prst="rect">
                            <a:avLst/>
                          </a:prstGeom>
                          <a:solidFill>
                            <a:srgbClr val="4472C4">
                              <a:lumMod val="60000"/>
                              <a:lumOff val="40000"/>
                            </a:srgbClr>
                          </a:solidFill>
                          <a:ln w="28575" cap="flat" cmpd="sng" algn="ctr">
                            <a:noFill/>
                            <a:prstDash val="solid"/>
                            <a:miter lim="800000"/>
                          </a:ln>
                          <a:effectLst/>
                        </wps:spPr>
                        <wps:txbx>
                          <w:txbxContent>
                            <w:p w14:paraId="184F5B47"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3. </w:t>
                              </w:r>
                              <w:r>
                                <w:rPr>
                                  <w:rFonts w:ascii="Cambria" w:eastAsia="Cambria" w:hAnsi="Cambria" w:cstheme="minorBidi"/>
                                  <w:color w:val="000000" w:themeColor="text1"/>
                                  <w:kern w:val="24"/>
                                </w:rPr>
                                <w:t>Advancement of judicial competences</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3" name="Rectangle 43"/>
                        <wps:cNvSpPr/>
                        <wps:spPr>
                          <a:xfrm>
                            <a:off x="7620" y="4431189"/>
                            <a:ext cx="3071567" cy="551418"/>
                          </a:xfrm>
                          <a:prstGeom prst="rect">
                            <a:avLst/>
                          </a:prstGeom>
                          <a:solidFill>
                            <a:srgbClr val="4472C4">
                              <a:lumMod val="60000"/>
                              <a:lumOff val="40000"/>
                            </a:srgbClr>
                          </a:solidFill>
                          <a:ln w="28575" cap="flat" cmpd="sng" algn="ctr">
                            <a:noFill/>
                            <a:prstDash val="solid"/>
                            <a:miter lim="800000"/>
                          </a:ln>
                          <a:effectLst/>
                        </wps:spPr>
                        <wps:txbx>
                          <w:txbxContent>
                            <w:p w14:paraId="7EEA2957"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4. </w:t>
                              </w:r>
                              <w:r>
                                <w:rPr>
                                  <w:rFonts w:ascii="Cambria" w:eastAsia="Cambria" w:hAnsi="Cambria" w:cstheme="minorBidi"/>
                                  <w:color w:val="000000" w:themeColor="text1"/>
                                  <w:kern w:val="24"/>
                                </w:rPr>
                                <w:t>Advancement of judiciary’s efficiency</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4" name="Rectangle 44"/>
                        <wps:cNvSpPr/>
                        <wps:spPr>
                          <a:xfrm>
                            <a:off x="5499" y="5025077"/>
                            <a:ext cx="3073933" cy="551419"/>
                          </a:xfrm>
                          <a:prstGeom prst="rect">
                            <a:avLst/>
                          </a:prstGeom>
                          <a:solidFill>
                            <a:srgbClr val="4472C4">
                              <a:lumMod val="60000"/>
                              <a:lumOff val="40000"/>
                            </a:srgbClr>
                          </a:solidFill>
                          <a:ln w="28575" cap="flat" cmpd="sng" algn="ctr">
                            <a:noFill/>
                            <a:prstDash val="solid"/>
                            <a:miter lim="800000"/>
                          </a:ln>
                          <a:effectLst/>
                        </wps:spPr>
                        <wps:txbx>
                          <w:txbxContent>
                            <w:p w14:paraId="6FB71A1E"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5. </w:t>
                              </w:r>
                              <w:r>
                                <w:rPr>
                                  <w:rFonts w:ascii="Cambria" w:eastAsia="Cambria" w:hAnsi="Cambria" w:cstheme="minorBidi"/>
                                  <w:color w:val="000000" w:themeColor="text1"/>
                                  <w:kern w:val="24"/>
                                </w:rPr>
                                <w:t>Development of e-Justice</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5" name="Rectangle 45"/>
                        <wps:cNvSpPr/>
                        <wps:spPr>
                          <a:xfrm>
                            <a:off x="3378735" y="2234484"/>
                            <a:ext cx="2479142" cy="407838"/>
                          </a:xfrm>
                          <a:prstGeom prst="rect">
                            <a:avLst/>
                          </a:prstGeom>
                          <a:solidFill>
                            <a:srgbClr val="4472C4">
                              <a:lumMod val="20000"/>
                              <a:lumOff val="80000"/>
                            </a:srgbClr>
                          </a:solidFill>
                          <a:ln w="28575" cap="flat" cmpd="sng" algn="ctr">
                            <a:noFill/>
                            <a:prstDash val="solid"/>
                            <a:miter lim="800000"/>
                          </a:ln>
                          <a:effectLst/>
                        </wps:spPr>
                        <wps:txbx>
                          <w:txbxContent>
                            <w:p w14:paraId="50DCEAFD" w14:textId="77777777" w:rsidR="00600AFD" w:rsidRDefault="00600AFD" w:rsidP="00916942">
                              <w:pPr>
                                <w:pStyle w:val="NormalWeb"/>
                                <w:spacing w:before="0" w:beforeAutospacing="0" w:after="0" w:afterAutospacing="0"/>
                                <w:jc w:val="center"/>
                              </w:pPr>
                              <w:r>
                                <w:rPr>
                                  <w:rFonts w:ascii="Cambria" w:eastAsia="Cambria" w:hAnsi="Cambria" w:cstheme="minorBidi"/>
                                  <w:color w:val="000000" w:themeColor="text1"/>
                                  <w:kern w:val="24"/>
                                  <w:u w:val="single"/>
                                </w:rPr>
                                <w:t>Priorities</w:t>
                              </w:r>
                              <w:r>
                                <w:rPr>
                                  <w:rFonts w:ascii="Cambria" w:eastAsia="Cambria" w:hAnsi="Cambria" w:cstheme="minorBidi"/>
                                  <w:color w:val="000000" w:themeColor="text1"/>
                                  <w:kern w:val="24"/>
                                  <w:lang w:val="sr-Cyrl-RS"/>
                                </w:rPr>
                                <w:t>:</w:t>
                              </w:r>
                            </w:p>
                          </w:txbxContent>
                        </wps:txbx>
                        <wps:bodyPr rot="0" spcFirstLastPara="0" vert="horz" wrap="square" lIns="132080" tIns="66040" rIns="132080" bIns="66040" numCol="1" spcCol="0" rtlCol="0" fromWordArt="0" anchor="ctr" anchorCtr="0" forceAA="0" compatLnSpc="1">
                          <a:prstTxWarp prst="textNoShape">
                            <a:avLst/>
                          </a:prstTxWarp>
                          <a:noAutofit/>
                        </wps:bodyPr>
                      </wps:wsp>
                      <wps:wsp>
                        <wps:cNvPr id="46" name="Rectangle 46"/>
                        <wps:cNvSpPr/>
                        <wps:spPr>
                          <a:xfrm>
                            <a:off x="3378734" y="2673451"/>
                            <a:ext cx="2479143" cy="557834"/>
                          </a:xfrm>
                          <a:prstGeom prst="rect">
                            <a:avLst/>
                          </a:prstGeom>
                          <a:solidFill>
                            <a:srgbClr val="4472C4">
                              <a:lumMod val="20000"/>
                              <a:lumOff val="80000"/>
                            </a:srgbClr>
                          </a:solidFill>
                          <a:ln w="28575" cap="flat" cmpd="sng" algn="ctr">
                            <a:noFill/>
                            <a:prstDash val="solid"/>
                            <a:miter lim="800000"/>
                          </a:ln>
                          <a:effectLst/>
                        </wps:spPr>
                        <wps:txbx>
                          <w:txbxContent>
                            <w:p w14:paraId="3409AE2B" w14:textId="0512FB38"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 xml:space="preserve">further strengthening of judicial independence and autonomy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7" name="Rectangle 47"/>
                        <wps:cNvSpPr/>
                        <wps:spPr>
                          <a:xfrm>
                            <a:off x="3378732" y="3262796"/>
                            <a:ext cx="2479142" cy="551418"/>
                          </a:xfrm>
                          <a:prstGeom prst="rect">
                            <a:avLst/>
                          </a:prstGeom>
                          <a:solidFill>
                            <a:srgbClr val="4472C4">
                              <a:lumMod val="20000"/>
                              <a:lumOff val="80000"/>
                            </a:srgbClr>
                          </a:solidFill>
                          <a:ln w="28575" cap="flat" cmpd="sng" algn="ctr">
                            <a:noFill/>
                            <a:prstDash val="solid"/>
                            <a:miter lim="800000"/>
                          </a:ln>
                          <a:effectLst/>
                        </wps:spPr>
                        <wps:txbx>
                          <w:txbxContent>
                            <w:p w14:paraId="225DB184" w14:textId="443C3E6D"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further strengthening of integrity</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8" name="Rectangle 48"/>
                        <wps:cNvSpPr/>
                        <wps:spPr>
                          <a:xfrm>
                            <a:off x="3378731" y="4083213"/>
                            <a:ext cx="2479142" cy="551418"/>
                          </a:xfrm>
                          <a:prstGeom prst="rect">
                            <a:avLst/>
                          </a:prstGeom>
                          <a:solidFill>
                            <a:srgbClr val="4472C4">
                              <a:lumMod val="20000"/>
                              <a:lumOff val="80000"/>
                            </a:srgbClr>
                          </a:solidFill>
                          <a:ln w="28575" cap="flat" cmpd="sng" algn="ctr">
                            <a:noFill/>
                            <a:prstDash val="solid"/>
                            <a:miter lim="800000"/>
                          </a:ln>
                          <a:effectLst/>
                        </wps:spPr>
                        <wps:txbx>
                          <w:txbxContent>
                            <w:p w14:paraId="7E68F5A1"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 xml:space="preserve">further increase in quality of the judicial system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49" name="Rectangle 49"/>
                        <wps:cNvSpPr/>
                        <wps:spPr>
                          <a:xfrm>
                            <a:off x="3378732" y="4778238"/>
                            <a:ext cx="2479142" cy="551418"/>
                          </a:xfrm>
                          <a:prstGeom prst="rect">
                            <a:avLst/>
                          </a:prstGeom>
                          <a:solidFill>
                            <a:srgbClr val="4472C4">
                              <a:lumMod val="20000"/>
                              <a:lumOff val="80000"/>
                            </a:srgbClr>
                          </a:solidFill>
                          <a:ln w="28575" cap="flat" cmpd="sng" algn="ctr">
                            <a:noFill/>
                            <a:prstDash val="solid"/>
                            <a:miter lim="800000"/>
                          </a:ln>
                          <a:effectLst/>
                        </wps:spPr>
                        <wps:txbx>
                          <w:txbxContent>
                            <w:p w14:paraId="02A1D592"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 xml:space="preserve">further increase of the level of efficiency of the judicial system </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50" name="Rectangle 50"/>
                        <wps:cNvSpPr/>
                        <wps:spPr>
                          <a:xfrm>
                            <a:off x="3378732" y="5623720"/>
                            <a:ext cx="2479142" cy="551419"/>
                          </a:xfrm>
                          <a:prstGeom prst="rect">
                            <a:avLst/>
                          </a:prstGeom>
                          <a:solidFill>
                            <a:srgbClr val="4472C4">
                              <a:lumMod val="20000"/>
                              <a:lumOff val="80000"/>
                            </a:srgbClr>
                          </a:solidFill>
                          <a:ln w="28575" cap="flat" cmpd="sng" algn="ctr">
                            <a:noFill/>
                            <a:prstDash val="solid"/>
                            <a:miter lim="800000"/>
                          </a:ln>
                          <a:effectLst/>
                        </wps:spPr>
                        <wps:txbx>
                          <w:txbxContent>
                            <w:p w14:paraId="0CAC5524"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increase of the level of public trust in the work of judiciary</w:t>
                              </w:r>
                            </w:p>
                          </w:txbxContent>
                        </wps:txbx>
                        <wps:bodyPr rot="0" spcFirstLastPara="0" vert="horz" wrap="square" lIns="45720" tIns="66040" rIns="45720" bIns="66040" numCol="1" spcCol="0" rtlCol="0" fromWordArt="0" anchor="ctr" anchorCtr="0" forceAA="0" compatLnSpc="1">
                          <a:prstTxWarp prst="textNoShape">
                            <a:avLst/>
                          </a:prstTxWarp>
                          <a:noAutofit/>
                        </wps:bodyPr>
                      </wps:wsp>
                      <wps:wsp>
                        <wps:cNvPr id="51" name="Straight Arrow Connector 51"/>
                        <wps:cNvCnPr>
                          <a:cxnSpLocks/>
                        </wps:cNvCnPr>
                        <wps:spPr>
                          <a:xfrm>
                            <a:off x="3091092" y="5901408"/>
                            <a:ext cx="218399" cy="0"/>
                          </a:xfrm>
                          <a:prstGeom prst="straightConnector1">
                            <a:avLst/>
                          </a:prstGeom>
                          <a:noFill/>
                          <a:ln w="38100" cap="flat" cmpd="sng" algn="ctr">
                            <a:solidFill>
                              <a:srgbClr val="ED7D31">
                                <a:lumMod val="60000"/>
                                <a:lumOff val="40000"/>
                              </a:srgbClr>
                            </a:solidFill>
                            <a:prstDash val="solid"/>
                            <a:miter lim="800000"/>
                            <a:tailEnd type="triangle"/>
                          </a:ln>
                          <a:effectLst/>
                        </wps:spPr>
                        <wps:bodyPr/>
                      </wps:wsp>
                      <wps:wsp>
                        <wps:cNvPr id="52" name="Straight Arrow Connector 52"/>
                        <wps:cNvCnPr>
                          <a:cxnSpLocks/>
                        </wps:cNvCnPr>
                        <wps:spPr>
                          <a:xfrm flipV="1">
                            <a:off x="3087264" y="2953601"/>
                            <a:ext cx="215529" cy="1976"/>
                          </a:xfrm>
                          <a:prstGeom prst="straightConnector1">
                            <a:avLst/>
                          </a:prstGeom>
                          <a:noFill/>
                          <a:ln w="38100" cap="flat" cmpd="sng" algn="ctr">
                            <a:solidFill>
                              <a:srgbClr val="ED7D31">
                                <a:lumMod val="60000"/>
                                <a:lumOff val="40000"/>
                              </a:srgbClr>
                            </a:solidFill>
                            <a:prstDash val="solid"/>
                            <a:miter lim="800000"/>
                            <a:tailEnd type="triangle"/>
                          </a:ln>
                          <a:effectLst/>
                        </wps:spPr>
                        <wps:bodyPr/>
                      </wps:wsp>
                      <wps:wsp>
                        <wps:cNvPr id="53" name="Straight Arrow Connector 53"/>
                        <wps:cNvCnPr>
                          <a:cxnSpLocks/>
                        </wps:cNvCnPr>
                        <wps:spPr>
                          <a:xfrm>
                            <a:off x="3090046" y="3538506"/>
                            <a:ext cx="215128" cy="5930"/>
                          </a:xfrm>
                          <a:prstGeom prst="straightConnector1">
                            <a:avLst/>
                          </a:prstGeom>
                          <a:noFill/>
                          <a:ln w="38100" cap="flat" cmpd="sng" algn="ctr">
                            <a:solidFill>
                              <a:srgbClr val="ED7D31">
                                <a:lumMod val="60000"/>
                                <a:lumOff val="40000"/>
                              </a:srgbClr>
                            </a:solidFill>
                            <a:prstDash val="solid"/>
                            <a:miter lim="800000"/>
                            <a:tailEnd type="triangle"/>
                          </a:ln>
                          <a:effectLst/>
                        </wps:spPr>
                        <wps:bodyPr/>
                      </wps:wsp>
                      <wps:wsp>
                        <wps:cNvPr id="54" name="Straight Arrow Connector 54"/>
                        <wps:cNvCnPr>
                          <a:cxnSpLocks/>
                        </wps:cNvCnPr>
                        <wps:spPr>
                          <a:xfrm>
                            <a:off x="3092679" y="4114207"/>
                            <a:ext cx="219744" cy="235610"/>
                          </a:xfrm>
                          <a:prstGeom prst="straightConnector1">
                            <a:avLst/>
                          </a:prstGeom>
                          <a:noFill/>
                          <a:ln w="38100" cap="flat" cmpd="sng" algn="ctr">
                            <a:solidFill>
                              <a:srgbClr val="ED7D31">
                                <a:lumMod val="60000"/>
                                <a:lumOff val="40000"/>
                              </a:srgbClr>
                            </a:solidFill>
                            <a:prstDash val="solid"/>
                            <a:miter lim="800000"/>
                            <a:tailEnd type="triangle"/>
                          </a:ln>
                          <a:effectLst/>
                        </wps:spPr>
                        <wps:bodyPr/>
                      </wps:wsp>
                      <wps:wsp>
                        <wps:cNvPr id="55" name="Straight Arrow Connector 55"/>
                        <wps:cNvCnPr>
                          <a:cxnSpLocks/>
                        </wps:cNvCnPr>
                        <wps:spPr>
                          <a:xfrm flipV="1">
                            <a:off x="3095854" y="4365635"/>
                            <a:ext cx="217167" cy="343781"/>
                          </a:xfrm>
                          <a:prstGeom prst="straightConnector1">
                            <a:avLst/>
                          </a:prstGeom>
                          <a:noFill/>
                          <a:ln w="38100" cap="flat" cmpd="sng" algn="ctr">
                            <a:solidFill>
                              <a:srgbClr val="ED7D31">
                                <a:lumMod val="60000"/>
                                <a:lumOff val="40000"/>
                              </a:srgbClr>
                            </a:solidFill>
                            <a:prstDash val="solid"/>
                            <a:miter lim="800000"/>
                            <a:tailEnd type="triangle"/>
                          </a:ln>
                          <a:effectLst/>
                        </wps:spPr>
                        <wps:bodyPr/>
                      </wps:wsp>
                      <wps:wsp>
                        <wps:cNvPr id="56" name="Straight Arrow Connector 56"/>
                        <wps:cNvCnPr>
                          <a:cxnSpLocks/>
                        </wps:cNvCnPr>
                        <wps:spPr>
                          <a:xfrm>
                            <a:off x="3095854" y="4737493"/>
                            <a:ext cx="199796" cy="287584"/>
                          </a:xfrm>
                          <a:prstGeom prst="straightConnector1">
                            <a:avLst/>
                          </a:prstGeom>
                          <a:noFill/>
                          <a:ln w="38100" cap="flat" cmpd="sng" algn="ctr">
                            <a:solidFill>
                              <a:srgbClr val="ED7D31">
                                <a:lumMod val="60000"/>
                                <a:lumOff val="40000"/>
                              </a:srgbClr>
                            </a:solidFill>
                            <a:prstDash val="solid"/>
                            <a:miter lim="800000"/>
                            <a:tailEnd type="triangle"/>
                          </a:ln>
                          <a:effectLst/>
                        </wps:spPr>
                        <wps:bodyPr/>
                      </wps:wsp>
                      <wps:wsp>
                        <wps:cNvPr id="57" name="Straight Arrow Connector 57"/>
                        <wps:cNvCnPr>
                          <a:cxnSpLocks/>
                        </wps:cNvCnPr>
                        <wps:spPr>
                          <a:xfrm flipV="1">
                            <a:off x="3095854" y="5050634"/>
                            <a:ext cx="199796" cy="247581"/>
                          </a:xfrm>
                          <a:prstGeom prst="straightConnector1">
                            <a:avLst/>
                          </a:prstGeom>
                          <a:noFill/>
                          <a:ln w="38100" cap="flat" cmpd="sng" algn="ctr">
                            <a:solidFill>
                              <a:srgbClr val="ED7D31">
                                <a:lumMod val="60000"/>
                                <a:lumOff val="40000"/>
                              </a:srgbClr>
                            </a:solidFill>
                            <a:prstDash val="solid"/>
                            <a:miter lim="800000"/>
                            <a:tailEnd type="triangle"/>
                          </a:ln>
                          <a:effectLst/>
                        </wps:spPr>
                        <wps:bodyPr/>
                      </wps:wsp>
                      <wps:wsp>
                        <wps:cNvPr id="58" name="Partial Circle 72"/>
                        <wps:cNvSpPr/>
                        <wps:spPr>
                          <a:xfrm rot="5400000">
                            <a:off x="3106228" y="5835700"/>
                            <a:ext cx="547464" cy="131415"/>
                          </a:xfrm>
                          <a:prstGeom prst="pie">
                            <a:avLst>
                              <a:gd name="adj1" fmla="val 0"/>
                              <a:gd name="adj2" fmla="val 10769870"/>
                            </a:avLst>
                          </a:prstGeom>
                          <a:solidFill>
                            <a:srgbClr val="8FAADC"/>
                          </a:solidFill>
                          <a:ln w="12700" cap="flat" cmpd="sng" algn="ctr">
                            <a:noFill/>
                            <a:prstDash val="solid"/>
                            <a:miter lim="800000"/>
                          </a:ln>
                          <a:effectLst/>
                        </wps:spPr>
                        <wps:bodyPr rtlCol="0" anchor="ctr"/>
                      </wps:wsp>
                      <wps:wsp>
                        <wps:cNvPr id="59" name="Partial Circle 73"/>
                        <wps:cNvSpPr/>
                        <wps:spPr>
                          <a:xfrm rot="5400000">
                            <a:off x="3105001" y="4986262"/>
                            <a:ext cx="547464" cy="131415"/>
                          </a:xfrm>
                          <a:prstGeom prst="pie">
                            <a:avLst>
                              <a:gd name="adj1" fmla="val 0"/>
                              <a:gd name="adj2" fmla="val 10769870"/>
                            </a:avLst>
                          </a:prstGeom>
                          <a:solidFill>
                            <a:srgbClr val="8FAADC"/>
                          </a:solidFill>
                          <a:ln w="12700" cap="flat" cmpd="sng" algn="ctr">
                            <a:noFill/>
                            <a:prstDash val="solid"/>
                            <a:miter lim="800000"/>
                          </a:ln>
                          <a:effectLst/>
                        </wps:spPr>
                        <wps:bodyPr rtlCol="0" anchor="ctr"/>
                      </wps:wsp>
                      <wps:wsp>
                        <wps:cNvPr id="60" name="Partial Circle 81"/>
                        <wps:cNvSpPr/>
                        <wps:spPr>
                          <a:xfrm rot="5400000">
                            <a:off x="3107573" y="4287284"/>
                            <a:ext cx="547464" cy="131415"/>
                          </a:xfrm>
                          <a:prstGeom prst="pie">
                            <a:avLst>
                              <a:gd name="adj1" fmla="val 0"/>
                              <a:gd name="adj2" fmla="val 10769870"/>
                            </a:avLst>
                          </a:prstGeom>
                          <a:solidFill>
                            <a:srgbClr val="8FAADC"/>
                          </a:solidFill>
                          <a:ln w="12700" cap="flat" cmpd="sng" algn="ctr">
                            <a:noFill/>
                            <a:prstDash val="solid"/>
                            <a:miter lim="800000"/>
                          </a:ln>
                          <a:effectLst/>
                        </wps:spPr>
                        <wps:bodyPr rtlCol="0" anchor="ctr"/>
                      </wps:wsp>
                      <wps:wsp>
                        <wps:cNvPr id="61" name="Partial Circle 85"/>
                        <wps:cNvSpPr/>
                        <wps:spPr>
                          <a:xfrm rot="5400000">
                            <a:off x="3104998" y="3478729"/>
                            <a:ext cx="547464" cy="131415"/>
                          </a:xfrm>
                          <a:prstGeom prst="pie">
                            <a:avLst>
                              <a:gd name="adj1" fmla="val 0"/>
                              <a:gd name="adj2" fmla="val 10769870"/>
                            </a:avLst>
                          </a:prstGeom>
                          <a:solidFill>
                            <a:srgbClr val="8FAADC"/>
                          </a:solidFill>
                          <a:ln w="12700" cap="flat" cmpd="sng" algn="ctr">
                            <a:noFill/>
                            <a:prstDash val="solid"/>
                            <a:miter lim="800000"/>
                          </a:ln>
                          <a:effectLst/>
                        </wps:spPr>
                        <wps:bodyPr rtlCol="0" anchor="ctr"/>
                      </wps:wsp>
                      <wps:wsp>
                        <wps:cNvPr id="62" name="Partial Circle 87"/>
                        <wps:cNvSpPr/>
                        <wps:spPr>
                          <a:xfrm rot="5400000">
                            <a:off x="3104997" y="2876505"/>
                            <a:ext cx="547464" cy="131415"/>
                          </a:xfrm>
                          <a:prstGeom prst="pie">
                            <a:avLst>
                              <a:gd name="adj1" fmla="val 0"/>
                              <a:gd name="adj2" fmla="val 10769870"/>
                            </a:avLst>
                          </a:prstGeom>
                          <a:solidFill>
                            <a:srgbClr val="8FAADC"/>
                          </a:solidFill>
                          <a:ln w="12700" cap="flat" cmpd="sng" algn="ctr">
                            <a:noFill/>
                            <a:prstDash val="solid"/>
                            <a:miter lim="800000"/>
                          </a:ln>
                          <a:effectLst/>
                        </wps:spPr>
                        <wps:bodyPr rtlCol="0" anchor="ctr"/>
                      </wps:wsp>
                    </wpg:wgp>
                  </a:graphicData>
                </a:graphic>
                <wp14:sizeRelV relativeFrom="margin">
                  <wp14:pctHeight>0</wp14:pctHeight>
                </wp14:sizeRelV>
              </wp:anchor>
            </w:drawing>
          </mc:Choice>
          <mc:Fallback>
            <w:pict>
              <v:group w14:anchorId="61B36140" id="Group 2" o:spid="_x0000_s1027" style="position:absolute;left:0;text-align:left;margin-left:0;margin-top:22.55pt;width:461.25pt;height:500.75pt;z-index:251664385;mso-height-relative:margin" coordorigin=",-1809" coordsize="58578,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">
                <v:shape id="Partial Circle 3" o:spid="_x0000_s1028" style="position:absolute;left:95;top:-1809;width:58483;height:23205;rotation:180;visibility:visible;mso-wrap-style:square;v-text-anchor:middle" coordsize="5848350,232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" path="m5848350,1160320v,541262,-943103,1010625,-2272901,1131175c3145044,2330513,2697961,2330352,2267735,2291025,930735,2168810,-12340,1694180,121,1149782r2924054,10538l5848350,1160320xe" fillcolor="#2f5597" stroked="f" strokeweight="2.25pt">
                  <v:stroke joinstyle="miter"/>
                  <v:path arrowok="t" o:connecttype="custom" o:connectlocs="5848350,1160320;3575449,2291495;2267735,2291025;121,1149782;2924175,1160320;5848350,1160320" o:connectangles="0,0,0,0,0,0"/>
                </v:shape>
                <v:rect id="Rectangle 36" o:spid="_x0000_s1029" style="position:absolute;left:95;top:10225;width:58483;height:11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" fillcolor="#2f5597" stroked="f" strokeweight="2.25pt">
                  <v:textbox inset="10.4pt,5.2pt,10.4pt,5.2pt">
                    <w:txbxContent>
                      <w:p w14:paraId="3EB9E1ED" w14:textId="77777777"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u w:val="single"/>
                            <w14:shadow w14:blurRad="38100" w14:dist="38100" w14:dir="2700000" w14:sx="100000" w14:sy="100000" w14:kx="0" w14:ky="0" w14:algn="tl">
                              <w14:srgbClr w14:val="000000">
                                <w14:alpha w14:val="57000"/>
                              </w14:srgbClr>
                            </w14:shadow>
                          </w:rPr>
                          <w:t>General Objective</w:t>
                        </w:r>
                        <w:r w:rsidRPr="00BE782F">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 </w:t>
                        </w:r>
                      </w:p>
                      <w:p w14:paraId="7C1D0B46" w14:textId="1745C258"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Further strengthening of </w:t>
                        </w:r>
                        <w:r>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the </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rule of law (</w:t>
                        </w:r>
                        <w:proofErr w:type="spellStart"/>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Rechtsstaat</w:t>
                        </w:r>
                        <w:proofErr w:type="spellEnd"/>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access to justice, and legal certainty for the purpose of </w:t>
                        </w:r>
                        <w:proofErr w:type="gramStart"/>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an</w:t>
                        </w:r>
                        <w:proofErr w:type="gramEnd"/>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quality and efficient</w:t>
                        </w:r>
                        <w:r w:rsidRPr="00BE782F" w:rsidDel="00916942">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realization of the protection of rights and freedoms of citizens, and raising the level of trust in the judicial system</w:t>
                        </w:r>
                      </w:p>
                    </w:txbxContent>
                  </v:textbox>
                </v:rect>
                <v:rect id="Rectangle 37" o:spid="_x0000_s1030" style="position:absolute;left:95;top:22344;width:30675;height: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" fillcolor="#8faadc" stroked="f" strokeweight="2.25pt">
                  <v:textbox inset="10.4pt,5.2pt,10.4pt,5.2pt">
                    <w:txbxContent>
                      <w:p w14:paraId="0725703E" w14:textId="77777777" w:rsidR="00600AFD" w:rsidRDefault="00600AFD" w:rsidP="00916942">
                        <w:pPr>
                          <w:pStyle w:val="NormalWeb"/>
                          <w:spacing w:before="0" w:beforeAutospacing="0" w:after="0" w:afterAutospacing="0"/>
                          <w:jc w:val="center"/>
                        </w:pPr>
                        <w:r>
                          <w:rPr>
                            <w:rFonts w:ascii="Cambria" w:eastAsia="Cambria" w:hAnsi="Cambria" w:cstheme="minorBidi"/>
                            <w:color w:val="000000" w:themeColor="text1"/>
                            <w:kern w:val="24"/>
                            <w:u w:val="single"/>
                          </w:rPr>
                          <w:t>Specific Objectives</w:t>
                        </w:r>
                        <w:r>
                          <w:rPr>
                            <w:rFonts w:ascii="Cambria" w:eastAsia="Cambria" w:hAnsi="Cambria" w:cstheme="minorBidi"/>
                            <w:color w:val="000000" w:themeColor="text1"/>
                            <w:kern w:val="24"/>
                            <w:u w:val="single"/>
                            <w:lang w:val="sr-Cyrl-RS"/>
                          </w:rPr>
                          <w:t>:</w:t>
                        </w:r>
                      </w:p>
                    </w:txbxContent>
                  </v:textbox>
                </v:rect>
                <v:shape id="TextBox 1" o:spid="_x0000_s1031" type="#_x0000_t202" style="position:absolute;left:1593;top:2078;width:55486;height:6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14:paraId="04E47DE9" w14:textId="77777777"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u w:val="single"/>
                            <w14:shadow w14:blurRad="38100" w14:dist="38100" w14:dir="2700000" w14:sx="100000" w14:sy="100000" w14:kx="0" w14:ky="0" w14:algn="tl">
                              <w14:srgbClr w14:val="000000">
                                <w14:alpha w14:val="57000"/>
                              </w14:srgbClr>
                            </w14:shadow>
                          </w:rPr>
                          <w:t>Vision</w:t>
                        </w:r>
                        <w:r w:rsidRPr="00BE782F">
                          <w:rPr>
                            <w:rFonts w:ascii="Cambria" w:eastAsia="Cambria" w:hAnsi="Cambria" w:cstheme="minorBidi"/>
                            <w:b/>
                            <w:bCs/>
                            <w:color w:val="FFFFFF" w:themeColor="background1"/>
                            <w:kern w:val="24"/>
                            <w:u w:val="single"/>
                            <w:lang w:val="ru-RU"/>
                            <w14:shadow w14:blurRad="38100" w14:dist="38100" w14:dir="2700000" w14:sx="100000" w14:sy="100000" w14:kx="0" w14:ky="0" w14:algn="tl">
                              <w14:srgbClr w14:val="000000">
                                <w14:alpha w14:val="57000"/>
                              </w14:srgbClr>
                            </w14:shadow>
                          </w:rPr>
                          <w:t xml:space="preserve">: </w:t>
                        </w:r>
                      </w:p>
                      <w:p w14:paraId="4CBF1222" w14:textId="50C91DFB" w:rsidR="00600AFD" w:rsidRDefault="00600AFD" w:rsidP="00916942">
                        <w:pPr>
                          <w:pStyle w:val="NormalWeb"/>
                          <w:spacing w:before="0" w:beforeAutospacing="0" w:after="0" w:afterAutospacing="0"/>
                          <w:jc w:val="center"/>
                        </w:pP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Independent and autonomous, modern and accountable</w:t>
                        </w:r>
                        <w:r w:rsidRPr="00BE782F" w:rsidDel="00916942">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judiciary, open to</w:t>
                        </w:r>
                        <w:r>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wards</w:t>
                        </w:r>
                        <w:r w:rsidRPr="00BE782F">
                          <w:rPr>
                            <w:rFonts w:ascii="Cambria" w:eastAsia="Cambria" w:hAnsi="Cambria" w:cstheme="minorBidi"/>
                            <w:b/>
                            <w:bCs/>
                            <w:color w:val="FFFFFF" w:themeColor="background1"/>
                            <w:kern w:val="24"/>
                            <w14:shadow w14:blurRad="38100" w14:dist="38100" w14:dir="2700000" w14:sx="100000" w14:sy="100000" w14:kx="0" w14:ky="0" w14:algn="tl">
                              <w14:srgbClr w14:val="000000">
                                <w14:alpha w14:val="57000"/>
                              </w14:srgbClr>
                            </w14:shadow>
                          </w:rPr>
                          <w:t xml:space="preserve"> the citizens and society</w:t>
                        </w:r>
                      </w:p>
                    </w:txbxContent>
                  </v:textbox>
                </v:shape>
                <v:rect id="Rectangle 39" o:spid="_x0000_s1032" style="position:absolute;top:56276;width:30794;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" fillcolor="#8faadc" stroked="f" strokeweight="2.25pt">
                  <v:textbox inset="3.6pt,5.2pt,3.6pt,5.2pt">
                    <w:txbxContent>
                      <w:p w14:paraId="5DA2D524"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6. </w:t>
                        </w:r>
                        <w:r>
                          <w:rPr>
                            <w:rFonts w:ascii="Cambria" w:eastAsia="Cambria" w:hAnsi="Cambria" w:cstheme="minorBidi"/>
                            <w:color w:val="000000" w:themeColor="text1"/>
                            <w:kern w:val="24"/>
                          </w:rPr>
                          <w:t>Advancement of transparency and accessibility of judiciary</w:t>
                        </w:r>
                      </w:p>
                    </w:txbxContent>
                  </v:textbox>
                </v:rect>
                <v:rect id="Rectangle 40" o:spid="_x0000_s1033" style="position:absolute;left:95;top:26798;width:30706;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" fillcolor="#8faadc" stroked="f" strokeweight="2.25pt">
                  <v:textbox inset="3.6pt,5.2pt,3.6pt,5.2pt">
                    <w:txbxContent>
                      <w:p w14:paraId="4DE24340"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1. </w:t>
                        </w:r>
                        <w:r>
                          <w:rPr>
                            <w:rFonts w:ascii="Cambria" w:eastAsia="Cambria" w:hAnsi="Cambria" w:cstheme="minorBidi"/>
                            <w:color w:val="000000" w:themeColor="text1"/>
                            <w:kern w:val="24"/>
                          </w:rPr>
                          <w:t xml:space="preserve">Strengthening judiciary’s independence and autonomy </w:t>
                        </w:r>
                      </w:p>
                    </w:txbxContent>
                  </v:textbox>
                </v:rect>
                <v:rect id="Rectangle 41" o:spid="_x0000_s1034" style="position:absolute;left:68;top:32627;width:30737;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" fillcolor="#8faadc" stroked="f" strokeweight="2.25pt">
                  <v:textbox inset="3.6pt,5.2pt,3.6pt,5.2pt">
                    <w:txbxContent>
                      <w:p w14:paraId="744940FA"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2. </w:t>
                        </w:r>
                        <w:r>
                          <w:rPr>
                            <w:rFonts w:ascii="Cambria" w:eastAsia="Cambria" w:hAnsi="Cambria" w:cstheme="minorBidi"/>
                            <w:color w:val="000000" w:themeColor="text1"/>
                            <w:kern w:val="24"/>
                          </w:rPr>
                          <w:t>Advancement of judiciary’s impartiality and accountability</w:t>
                        </w:r>
                      </w:p>
                    </w:txbxContent>
                  </v:textbox>
                </v:rect>
                <v:rect id="Rectangle 42" o:spid="_x0000_s1035" style="position:absolute;left:54;top:38491;width:30737;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" fillcolor="#8faadc" stroked="f" strokeweight="2.25pt">
                  <v:textbox inset="3.6pt,5.2pt,3.6pt,5.2pt">
                    <w:txbxContent>
                      <w:p w14:paraId="184F5B47"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3. </w:t>
                        </w:r>
                        <w:r>
                          <w:rPr>
                            <w:rFonts w:ascii="Cambria" w:eastAsia="Cambria" w:hAnsi="Cambria" w:cstheme="minorBidi"/>
                            <w:color w:val="000000" w:themeColor="text1"/>
                            <w:kern w:val="24"/>
                          </w:rPr>
                          <w:t>Advancement of judicial competences</w:t>
                        </w:r>
                      </w:p>
                    </w:txbxContent>
                  </v:textbox>
                </v:rect>
                <v:rect id="Rectangle 43" o:spid="_x0000_s1036" style="position:absolute;left:76;top:44311;width:30715;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" fillcolor="#8faadc" stroked="f" strokeweight="2.25pt">
                  <v:textbox inset="3.6pt,5.2pt,3.6pt,5.2pt">
                    <w:txbxContent>
                      <w:p w14:paraId="7EEA2957"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4. </w:t>
                        </w:r>
                        <w:r>
                          <w:rPr>
                            <w:rFonts w:ascii="Cambria" w:eastAsia="Cambria" w:hAnsi="Cambria" w:cstheme="minorBidi"/>
                            <w:color w:val="000000" w:themeColor="text1"/>
                            <w:kern w:val="24"/>
                          </w:rPr>
                          <w:t>Advancement of judiciary’s efficiency</w:t>
                        </w:r>
                      </w:p>
                    </w:txbxContent>
                  </v:textbox>
                </v:rect>
                <v:rect id="Rectangle 44" o:spid="_x0000_s1037" style="position:absolute;left:54;top:50250;width:30740;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" fillcolor="#8faadc" stroked="f" strokeweight="2.25pt">
                  <v:textbox inset="3.6pt,5.2pt,3.6pt,5.2pt">
                    <w:txbxContent>
                      <w:p w14:paraId="6FB71A1E"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lang w:val="ru-RU"/>
                          </w:rPr>
                          <w:t xml:space="preserve">5. </w:t>
                        </w:r>
                        <w:r>
                          <w:rPr>
                            <w:rFonts w:ascii="Cambria" w:eastAsia="Cambria" w:hAnsi="Cambria" w:cstheme="minorBidi"/>
                            <w:color w:val="000000" w:themeColor="text1"/>
                            <w:kern w:val="24"/>
                          </w:rPr>
                          <w:t>Development of e-Justice</w:t>
                        </w:r>
                      </w:p>
                    </w:txbxContent>
                  </v:textbox>
                </v:rect>
                <v:rect id="Rectangle 45" o:spid="_x0000_s1038" style="position:absolute;left:33787;top:22344;width:24791;height: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" fillcolor="#dae3f3" stroked="f" strokeweight="2.25pt">
                  <v:textbox inset="10.4pt,5.2pt,10.4pt,5.2pt">
                    <w:txbxContent>
                      <w:p w14:paraId="50DCEAFD" w14:textId="77777777" w:rsidR="00600AFD" w:rsidRDefault="00600AFD" w:rsidP="00916942">
                        <w:pPr>
                          <w:pStyle w:val="NormalWeb"/>
                          <w:spacing w:before="0" w:beforeAutospacing="0" w:after="0" w:afterAutospacing="0"/>
                          <w:jc w:val="center"/>
                        </w:pPr>
                        <w:r>
                          <w:rPr>
                            <w:rFonts w:ascii="Cambria" w:eastAsia="Cambria" w:hAnsi="Cambria" w:cstheme="minorBidi"/>
                            <w:color w:val="000000" w:themeColor="text1"/>
                            <w:kern w:val="24"/>
                            <w:u w:val="single"/>
                          </w:rPr>
                          <w:t>Priorities</w:t>
                        </w:r>
                        <w:r>
                          <w:rPr>
                            <w:rFonts w:ascii="Cambria" w:eastAsia="Cambria" w:hAnsi="Cambria" w:cstheme="minorBidi"/>
                            <w:color w:val="000000" w:themeColor="text1"/>
                            <w:kern w:val="24"/>
                            <w:lang w:val="sr-Cyrl-RS"/>
                          </w:rPr>
                          <w:t>:</w:t>
                        </w:r>
                      </w:p>
                    </w:txbxContent>
                  </v:textbox>
                </v:rect>
                <v:rect id="Rectangle 46" o:spid="_x0000_s1039" style="position:absolute;left:33787;top:26734;width:24791;height:5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" fillcolor="#dae3f3" stroked="f" strokeweight="2.25pt">
                  <v:textbox inset="3.6pt,5.2pt,3.6pt,5.2pt">
                    <w:txbxContent>
                      <w:p w14:paraId="3409AE2B" w14:textId="0512FB38"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 xml:space="preserve">further strengthening of judicial independence and autonomy </w:t>
                        </w:r>
                      </w:p>
                    </w:txbxContent>
                  </v:textbox>
                </v:rect>
                <v:rect id="Rectangle 47" o:spid="_x0000_s1040" style="position:absolute;left:33787;top:32627;width:24791;height:5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" fillcolor="#dae3f3" stroked="f" strokeweight="2.25pt">
                  <v:textbox inset="3.6pt,5.2pt,3.6pt,5.2pt">
                    <w:txbxContent>
                      <w:p w14:paraId="225DB184" w14:textId="443C3E6D"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further strengthening of integrity</w:t>
                        </w:r>
                      </w:p>
                    </w:txbxContent>
                  </v:textbox>
                </v:rect>
                <v:rect id="Rectangle 48" o:spid="_x0000_s1041" style="position:absolute;left:33787;top:40832;width:24791;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" fillcolor="#dae3f3" stroked="f" strokeweight="2.25pt">
                  <v:textbox inset="3.6pt,5.2pt,3.6pt,5.2pt">
                    <w:txbxContent>
                      <w:p w14:paraId="7E68F5A1"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 xml:space="preserve">further increase in quality of the judicial system </w:t>
                        </w:r>
                      </w:p>
                    </w:txbxContent>
                  </v:textbox>
                </v:rect>
                <v:rect id="Rectangle 49" o:spid="_x0000_s1042" style="position:absolute;left:33787;top:47782;width:24791;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" fillcolor="#dae3f3" stroked="f" strokeweight="2.25pt">
                  <v:textbox inset="3.6pt,5.2pt,3.6pt,5.2pt">
                    <w:txbxContent>
                      <w:p w14:paraId="02A1D592"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 xml:space="preserve">further increase of the level of efficiency of the judicial system </w:t>
                        </w:r>
                      </w:p>
                    </w:txbxContent>
                  </v:textbox>
                </v:rect>
                <v:rect id="Rectangle 50" o:spid="_x0000_s1043" style="position:absolute;left:33787;top:56237;width:24791;height:5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" fillcolor="#dae3f3" stroked="f" strokeweight="2.25pt">
                  <v:textbox inset="3.6pt,5.2pt,3.6pt,5.2pt">
                    <w:txbxContent>
                      <w:p w14:paraId="0CAC5524" w14:textId="77777777" w:rsidR="00600AFD" w:rsidRDefault="00600AFD" w:rsidP="00916942">
                        <w:pPr>
                          <w:pStyle w:val="NormalWeb"/>
                          <w:spacing w:before="0" w:beforeAutospacing="0" w:after="0" w:afterAutospacing="0"/>
                        </w:pPr>
                        <w:r>
                          <w:rPr>
                            <w:rFonts w:ascii="Cambria" w:eastAsia="Cambria" w:hAnsi="Cambria" w:cstheme="minorBidi"/>
                            <w:color w:val="000000" w:themeColor="text1"/>
                            <w:kern w:val="24"/>
                          </w:rPr>
                          <w:t>increase of the level of public trust in the work of judiciary</w:t>
                        </w:r>
                      </w:p>
                    </w:txbxContent>
                  </v:textbox>
                </v:rect>
                <v:shapetype id="_x0000_t32" coordsize="21600,21600" o:spt="32" o:oned="t" path="m,l21600,21600e" filled="f">
                  <v:path arrowok="t" fillok="f" o:connecttype="none"/>
                  <o:lock v:ext="edit" shapetype="t"/>
                </v:shapetype>
                <v:shape id="Straight Arrow Connector 51" o:spid="_x0000_s1044" type="#_x0000_t32" style="position:absolute;left:30910;top:59014;width:21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" strokecolor="#f4b183" strokeweight="3pt">
                  <v:stroke endarrow="block" joinstyle="miter"/>
                  <o:lock v:ext="edit" shapetype="f"/>
                </v:shape>
                <v:shape id="Straight Arrow Connector 52" o:spid="_x0000_s1045" type="#_x0000_t32" style="position:absolute;left:30872;top:29536;width:2155;height: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" strokecolor="#f4b183" strokeweight="3pt">
                  <v:stroke endarrow="block" joinstyle="miter"/>
                  <o:lock v:ext="edit" shapetype="f"/>
                </v:shape>
                <v:shape id="Straight Arrow Connector 53" o:spid="_x0000_s1046" type="#_x0000_t32" style="position:absolute;left:30900;top:35385;width:2151;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" strokecolor="#f4b183" strokeweight="3pt">
                  <v:stroke endarrow="block" joinstyle="miter"/>
                  <o:lock v:ext="edit" shapetype="f"/>
                </v:shape>
                <v:shape id="Straight Arrow Connector 54" o:spid="_x0000_s1047" type="#_x0000_t32" style="position:absolute;left:30926;top:41142;width:2198;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" strokecolor="#f4b183" strokeweight="3pt">
                  <v:stroke endarrow="block" joinstyle="miter"/>
                  <o:lock v:ext="edit" shapetype="f"/>
                </v:shape>
                <v:shape id="Straight Arrow Connector 55" o:spid="_x0000_s1048" type="#_x0000_t32" style="position:absolute;left:30958;top:43656;width:2172;height:3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" strokecolor="#f4b183" strokeweight="3pt">
                  <v:stroke endarrow="block" joinstyle="miter"/>
                  <o:lock v:ext="edit" shapetype="f"/>
                </v:shape>
                <v:shape id="Straight Arrow Connector 56" o:spid="_x0000_s1049" type="#_x0000_t32" style="position:absolute;left:30958;top:47374;width:1998;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" strokecolor="#f4b183" strokeweight="3pt">
                  <v:stroke endarrow="block" joinstyle="miter"/>
                  <o:lock v:ext="edit" shapetype="f"/>
                </v:shape>
                <v:shape id="Straight Arrow Connector 57" o:spid="_x0000_s1050" type="#_x0000_t32" style="position:absolute;left:30958;top:50506;width:1998;height:2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" strokecolor="#f4b183" strokeweight="3pt">
                  <v:stroke endarrow="block" joinstyle="miter"/>
                  <o:lock v:ext="edit" shapetype="f"/>
                </v:shape>
                <v:shape id="Partial Circle 72" o:spid="_x0000_s1051" style="position:absolute;left:31061;top:58357;width:5475;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73" o:spid="_x0000_s1052" style="position:absolute;left:31049;top:49863;width:5475;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81" o:spid="_x0000_s1053" style="position:absolute;left:31075;top:42872;width:5475;height:1315;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85" o:spid="_x0000_s1054" style="position:absolute;left:31050;top:34787;width:5474;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v:shape id="Partial Circle 87" o:spid="_x0000_s1055" style="position:absolute;left:31049;top:28765;width:5475;height:1314;rotation:90;visibility:visible;mso-wrap-style:square;v-text-anchor:middle" coordsize="547464,13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" path="m547464,65708v,36263,-122379,65670,-273444,65708c126617,131453,5561,103465,182,68106l273732,65708r273732,xe" fillcolor="#8faadc" stroked="f" strokeweight="1pt">
                  <v:stroke joinstyle="miter"/>
                  <v:path arrowok="t" o:connecttype="custom" o:connectlocs="547464,65708;274020,131416;182,68106;273732,65708;547464,65708" o:connectangles="0,0,0,0,0"/>
                </v:shape>
                <w10:wrap type="square"/>
              </v:group>
            </w:pict>
          </mc:Fallback>
        </mc:AlternateContent>
      </w:r>
    </w:p>
    <w:p w14:paraId="2F3EEC97" w14:textId="74765136" w:rsidR="00916942" w:rsidRPr="00147D6A" w:rsidRDefault="00916942" w:rsidP="007B117D">
      <w:pPr>
        <w:jc w:val="center"/>
        <w:rPr>
          <w:rFonts w:ascii="Times New Roman" w:hAnsi="Times New Roman" w:cs="Times New Roman"/>
          <w:i/>
          <w:iCs/>
          <w:sz w:val="20"/>
          <w:szCs w:val="20"/>
        </w:rPr>
      </w:pPr>
      <w:r w:rsidRPr="00147D6A">
        <w:rPr>
          <w:rFonts w:ascii="Times New Roman" w:hAnsi="Times New Roman" w:cs="Times New Roman"/>
          <w:i/>
          <w:iCs/>
          <w:sz w:val="20"/>
          <w:szCs w:val="20"/>
        </w:rPr>
        <w:t xml:space="preserve">Picture 1: Structure of JDS </w:t>
      </w:r>
      <w:r w:rsidR="000F3999" w:rsidRPr="00147D6A">
        <w:rPr>
          <w:rFonts w:ascii="Times New Roman" w:hAnsi="Times New Roman" w:cs="Times New Roman"/>
          <w:i/>
          <w:iCs/>
          <w:sz w:val="20"/>
          <w:szCs w:val="20"/>
        </w:rPr>
        <w:t>2020–2025</w:t>
      </w:r>
    </w:p>
    <w:p w14:paraId="5A740BB9" w14:textId="21708463" w:rsidR="00916942" w:rsidRPr="00600AFD" w:rsidRDefault="00916942" w:rsidP="00916942">
      <w:pPr>
        <w:rPr>
          <w:rFonts w:ascii="Times New Roman" w:hAnsi="Times New Roman" w:cs="Times New Roman"/>
          <w:szCs w:val="24"/>
        </w:rPr>
      </w:pPr>
      <w:r w:rsidRPr="00600AFD">
        <w:rPr>
          <w:rFonts w:ascii="Times New Roman" w:hAnsi="Times New Roman" w:cs="Times New Roman"/>
          <w:noProof/>
          <w:szCs w:val="24"/>
        </w:rPr>
        <w:lastRenderedPageBreak/>
        <mc:AlternateContent>
          <mc:Choice Requires="wps">
            <w:drawing>
              <wp:anchor distT="0" distB="0" distL="114300" distR="114300" simplePos="0" relativeHeight="251666433" behindDoc="0" locked="0" layoutInCell="1" allowOverlap="1" wp14:anchorId="6A398F4C" wp14:editId="1937EDA8">
                <wp:simplePos x="0" y="0"/>
                <wp:positionH relativeFrom="column">
                  <wp:posOffset>-47625</wp:posOffset>
                </wp:positionH>
                <wp:positionV relativeFrom="paragraph">
                  <wp:posOffset>174378</wp:posOffset>
                </wp:positionV>
                <wp:extent cx="1828800" cy="1828800"/>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9C2CFC6" w14:textId="5633C672" w:rsidR="00600AFD" w:rsidRPr="00147D6A" w:rsidRDefault="00600AFD" w:rsidP="007B117D">
                            <w:pPr>
                              <w:rPr>
                                <w:rFonts w:ascii="Times New Roman" w:hAnsi="Times New Roman" w:cs="Times New Roman"/>
                                <w:b/>
                                <w:i/>
                                <w:u w:val="single"/>
                              </w:rPr>
                            </w:pPr>
                            <w:r w:rsidRPr="00147D6A">
                              <w:rPr>
                                <w:rFonts w:ascii="Times New Roman" w:hAnsi="Times New Roman" w:cs="Times New Roman"/>
                                <w:b/>
                                <w:bCs/>
                                <w:i/>
                                <w:u w:val="single"/>
                              </w:rPr>
                              <w:t>Vision</w:t>
                            </w:r>
                            <w:r w:rsidRPr="00147D6A">
                              <w:rPr>
                                <w:rFonts w:ascii="Times New Roman" w:hAnsi="Times New Roman" w:cs="Times New Roman"/>
                                <w:b/>
                                <w:bCs/>
                              </w:rPr>
                              <w:t>: Independent and autonomous, modern, efficient judiciary, accountable and open towards the citizens and society.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A398F4C" id="Text Box 63" o:spid="_x0000_s1056" type="#_x0000_t202" style="position:absolute;left:0;text-align:left;margin-left:-3.75pt;margin-top:13.75pt;width:2in;height:2in;z-index:25166643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" filled="f" strokeweight=".5pt">
                <v:textbox style="mso-fit-shape-to-text:t">
                  <w:txbxContent>
                    <w:p w14:paraId="59C2CFC6" w14:textId="5633C672" w:rsidR="00600AFD" w:rsidRPr="00147D6A" w:rsidRDefault="00600AFD" w:rsidP="007B117D">
                      <w:pPr>
                        <w:rPr>
                          <w:rFonts w:ascii="Times New Roman" w:hAnsi="Times New Roman" w:cs="Times New Roman"/>
                          <w:b/>
                          <w:i/>
                          <w:u w:val="single"/>
                        </w:rPr>
                      </w:pPr>
                      <w:r w:rsidRPr="00147D6A">
                        <w:rPr>
                          <w:rFonts w:ascii="Times New Roman" w:hAnsi="Times New Roman" w:cs="Times New Roman"/>
                          <w:b/>
                          <w:bCs/>
                          <w:i/>
                          <w:u w:val="single"/>
                        </w:rPr>
                        <w:t>Vision</w:t>
                      </w:r>
                      <w:r w:rsidRPr="00147D6A">
                        <w:rPr>
                          <w:rFonts w:ascii="Times New Roman" w:hAnsi="Times New Roman" w:cs="Times New Roman"/>
                          <w:b/>
                          <w:bCs/>
                        </w:rPr>
                        <w:t>: Independent and autonomous, modern, efficient judiciary, accountable and open towards the citizens and society.</w:t>
                      </w:r>
                    </w:p>
                  </w:txbxContent>
                </v:textbox>
                <w10:wrap type="square"/>
              </v:shape>
            </w:pict>
          </mc:Fallback>
        </mc:AlternateContent>
      </w:r>
    </w:p>
    <w:p w14:paraId="6D5A393D" w14:textId="0D01FEDA" w:rsidR="00E05E57" w:rsidRPr="00600AFD" w:rsidRDefault="004007F0" w:rsidP="00D708A9">
      <w:pPr>
        <w:spacing w:after="240" w:line="276" w:lineRule="auto"/>
        <w:rPr>
          <w:rFonts w:ascii="Times New Roman" w:hAnsi="Times New Roman" w:cs="Times New Roman"/>
          <w:szCs w:val="24"/>
        </w:rPr>
      </w:pPr>
      <w:r w:rsidRPr="00600AFD">
        <w:rPr>
          <w:rFonts w:ascii="Times New Roman" w:hAnsi="Times New Roman" w:cs="Times New Roman"/>
          <w:noProof/>
          <w:szCs w:val="24"/>
        </w:rPr>
        <mc:AlternateContent>
          <mc:Choice Requires="wps">
            <w:drawing>
              <wp:anchor distT="0" distB="0" distL="114300" distR="114300" simplePos="0" relativeHeight="251658240" behindDoc="0" locked="0" layoutInCell="1" allowOverlap="1" wp14:anchorId="7B372C9D" wp14:editId="0EB784BD">
                <wp:simplePos x="0" y="0"/>
                <wp:positionH relativeFrom="margin">
                  <wp:align>left</wp:align>
                </wp:positionH>
                <wp:positionV relativeFrom="paragraph">
                  <wp:posOffset>961390</wp:posOffset>
                </wp:positionV>
                <wp:extent cx="6079490" cy="914400"/>
                <wp:effectExtent l="0" t="0" r="1651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078" cy="914400"/>
                        </a:xfrm>
                        <a:prstGeom prst="rect">
                          <a:avLst/>
                        </a:prstGeom>
                        <a:solidFill>
                          <a:schemeClr val="lt1"/>
                        </a:solidFill>
                        <a:ln w="6350">
                          <a:solidFill>
                            <a:prstClr val="black"/>
                          </a:solidFill>
                        </a:ln>
                      </wps:spPr>
                      <wps:txbx>
                        <w:txbxContent>
                          <w:p w14:paraId="2030053D" w14:textId="620B8CF8" w:rsidR="00600AFD" w:rsidRPr="00147D6A" w:rsidRDefault="00600AFD" w:rsidP="00D708A9">
                            <w:pPr>
                              <w:spacing w:line="276" w:lineRule="auto"/>
                              <w:rPr>
                                <w:rFonts w:ascii="Times New Roman" w:hAnsi="Times New Roman" w:cs="Times New Roman"/>
                              </w:rPr>
                            </w:pPr>
                            <w:r w:rsidRPr="00147D6A">
                              <w:rPr>
                                <w:rFonts w:ascii="Times New Roman" w:hAnsi="Times New Roman" w:cs="Times New Roman"/>
                                <w:b/>
                                <w:i/>
                                <w:color w:val="000000" w:themeColor="text1"/>
                                <w:u w:val="single"/>
                              </w:rPr>
                              <w:t>General Objective:</w:t>
                            </w:r>
                            <w:r w:rsidRPr="00147D6A">
                              <w:rPr>
                                <w:rFonts w:ascii="Times New Roman" w:hAnsi="Times New Roman" w:cs="Times New Roman"/>
                                <w:color w:val="000000" w:themeColor="text1"/>
                              </w:rPr>
                              <w:t xml:space="preserve"> </w:t>
                            </w:r>
                            <w:r w:rsidRPr="00147D6A">
                              <w:rPr>
                                <w:rFonts w:ascii="Times New Roman" w:hAnsi="Times New Roman" w:cs="Times New Roman"/>
                                <w:b/>
                              </w:rPr>
                              <w:t xml:space="preserve">Further strengthening of rule of law </w:t>
                            </w:r>
                            <w:r w:rsidRPr="00147D6A">
                              <w:rPr>
                                <w:rFonts w:ascii="Times New Roman" w:hAnsi="Times New Roman" w:cs="Times New Roman"/>
                                <w:b/>
                                <w:i/>
                              </w:rPr>
                              <w:t>(</w:t>
                            </w:r>
                            <w:proofErr w:type="spellStart"/>
                            <w:r w:rsidRPr="00147D6A">
                              <w:rPr>
                                <w:rFonts w:ascii="Times New Roman" w:hAnsi="Times New Roman" w:cs="Times New Roman"/>
                                <w:b/>
                                <w:i/>
                              </w:rPr>
                              <w:t>Rechtsstaat</w:t>
                            </w:r>
                            <w:proofErr w:type="spellEnd"/>
                            <w:r w:rsidRPr="00147D6A">
                              <w:rPr>
                                <w:rFonts w:ascii="Times New Roman" w:hAnsi="Times New Roman" w:cs="Times New Roman"/>
                                <w:b/>
                                <w:i/>
                              </w:rPr>
                              <w:t>)</w:t>
                            </w:r>
                            <w:r w:rsidRPr="00147D6A">
                              <w:rPr>
                                <w:rFonts w:ascii="Times New Roman" w:hAnsi="Times New Roman" w:cs="Times New Roman"/>
                                <w:b/>
                              </w:rPr>
                              <w:t xml:space="preserve">, access to justice, and legal certainty for the purpose of </w:t>
                            </w:r>
                            <w:r w:rsidR="00147D6A" w:rsidRPr="00147D6A">
                              <w:rPr>
                                <w:rFonts w:ascii="Times New Roman" w:hAnsi="Times New Roman" w:cs="Times New Roman"/>
                                <w:b/>
                              </w:rPr>
                              <w:t>a</w:t>
                            </w:r>
                            <w:r w:rsidRPr="00147D6A">
                              <w:rPr>
                                <w:rFonts w:ascii="Times New Roman" w:hAnsi="Times New Roman" w:cs="Times New Roman"/>
                                <w:b/>
                              </w:rPr>
                              <w:t xml:space="preserve"> quality and efficient realization of the protection of rights and freedoms of </w:t>
                            </w:r>
                            <w:proofErr w:type="gramStart"/>
                            <w:r w:rsidRPr="00147D6A">
                              <w:rPr>
                                <w:rFonts w:ascii="Times New Roman" w:hAnsi="Times New Roman" w:cs="Times New Roman"/>
                                <w:b/>
                              </w:rPr>
                              <w:t>citizens, and</w:t>
                            </w:r>
                            <w:proofErr w:type="gramEnd"/>
                            <w:r w:rsidRPr="00147D6A">
                              <w:rPr>
                                <w:rFonts w:ascii="Times New Roman" w:hAnsi="Times New Roman" w:cs="Times New Roman"/>
                                <w:b/>
                              </w:rPr>
                              <w:t xml:space="preserve"> raising the level of trust in the judicial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372C9D" id="Text Box 1" o:spid="_x0000_s1057" type="#_x0000_t202" style="position:absolute;left:0;text-align:left;margin-left:0;margin-top:75.7pt;width:478.7pt;height:1in;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" fillcolor="white [3201]" strokeweight=".5pt">
                <v:path arrowok="t"/>
                <v:textbox>
                  <w:txbxContent>
                    <w:p w14:paraId="2030053D" w14:textId="620B8CF8" w:rsidR="00600AFD" w:rsidRPr="00147D6A" w:rsidRDefault="00600AFD" w:rsidP="00D708A9">
                      <w:pPr>
                        <w:spacing w:line="276" w:lineRule="auto"/>
                        <w:rPr>
                          <w:rFonts w:ascii="Times New Roman" w:hAnsi="Times New Roman" w:cs="Times New Roman"/>
                        </w:rPr>
                      </w:pPr>
                      <w:r w:rsidRPr="00147D6A">
                        <w:rPr>
                          <w:rFonts w:ascii="Times New Roman" w:hAnsi="Times New Roman" w:cs="Times New Roman"/>
                          <w:b/>
                          <w:i/>
                          <w:color w:val="000000" w:themeColor="text1"/>
                          <w:u w:val="single"/>
                        </w:rPr>
                        <w:t>General Objective:</w:t>
                      </w:r>
                      <w:r w:rsidRPr="00147D6A">
                        <w:rPr>
                          <w:rFonts w:ascii="Times New Roman" w:hAnsi="Times New Roman" w:cs="Times New Roman"/>
                          <w:color w:val="000000" w:themeColor="text1"/>
                        </w:rPr>
                        <w:t xml:space="preserve"> </w:t>
                      </w:r>
                      <w:r w:rsidRPr="00147D6A">
                        <w:rPr>
                          <w:rFonts w:ascii="Times New Roman" w:hAnsi="Times New Roman" w:cs="Times New Roman"/>
                          <w:b/>
                        </w:rPr>
                        <w:t xml:space="preserve">Further strengthening of rule of law </w:t>
                      </w:r>
                      <w:r w:rsidRPr="00147D6A">
                        <w:rPr>
                          <w:rFonts w:ascii="Times New Roman" w:hAnsi="Times New Roman" w:cs="Times New Roman"/>
                          <w:b/>
                          <w:i/>
                        </w:rPr>
                        <w:t>(</w:t>
                      </w:r>
                      <w:proofErr w:type="spellStart"/>
                      <w:r w:rsidRPr="00147D6A">
                        <w:rPr>
                          <w:rFonts w:ascii="Times New Roman" w:hAnsi="Times New Roman" w:cs="Times New Roman"/>
                          <w:b/>
                          <w:i/>
                        </w:rPr>
                        <w:t>Rechtsstaat</w:t>
                      </w:r>
                      <w:proofErr w:type="spellEnd"/>
                      <w:r w:rsidRPr="00147D6A">
                        <w:rPr>
                          <w:rFonts w:ascii="Times New Roman" w:hAnsi="Times New Roman" w:cs="Times New Roman"/>
                          <w:b/>
                          <w:i/>
                        </w:rPr>
                        <w:t>)</w:t>
                      </w:r>
                      <w:r w:rsidRPr="00147D6A">
                        <w:rPr>
                          <w:rFonts w:ascii="Times New Roman" w:hAnsi="Times New Roman" w:cs="Times New Roman"/>
                          <w:b/>
                        </w:rPr>
                        <w:t xml:space="preserve">, access to justice, and legal certainty for the purpose of </w:t>
                      </w:r>
                      <w:r w:rsidR="00147D6A" w:rsidRPr="00147D6A">
                        <w:rPr>
                          <w:rFonts w:ascii="Times New Roman" w:hAnsi="Times New Roman" w:cs="Times New Roman"/>
                          <w:b/>
                        </w:rPr>
                        <w:t>a</w:t>
                      </w:r>
                      <w:r w:rsidRPr="00147D6A">
                        <w:rPr>
                          <w:rFonts w:ascii="Times New Roman" w:hAnsi="Times New Roman" w:cs="Times New Roman"/>
                          <w:b/>
                        </w:rPr>
                        <w:t xml:space="preserve"> quality and efficient realization of the protection of rights and freedoms of </w:t>
                      </w:r>
                      <w:proofErr w:type="gramStart"/>
                      <w:r w:rsidRPr="00147D6A">
                        <w:rPr>
                          <w:rFonts w:ascii="Times New Roman" w:hAnsi="Times New Roman" w:cs="Times New Roman"/>
                          <w:b/>
                        </w:rPr>
                        <w:t>citizens, and</w:t>
                      </w:r>
                      <w:proofErr w:type="gramEnd"/>
                      <w:r w:rsidRPr="00147D6A">
                        <w:rPr>
                          <w:rFonts w:ascii="Times New Roman" w:hAnsi="Times New Roman" w:cs="Times New Roman"/>
                          <w:b/>
                        </w:rPr>
                        <w:t xml:space="preserve"> raising the level of trust in the judicial system. </w:t>
                      </w:r>
                    </w:p>
                  </w:txbxContent>
                </v:textbox>
                <w10:wrap type="square" anchorx="margin"/>
              </v:shape>
            </w:pict>
          </mc:Fallback>
        </mc:AlternateContent>
      </w:r>
      <w:r w:rsidR="00CB253D" w:rsidRPr="00600AFD">
        <w:rPr>
          <w:rFonts w:ascii="Times New Roman" w:hAnsi="Times New Roman" w:cs="Times New Roman"/>
          <w:szCs w:val="24"/>
        </w:rPr>
        <w:t xml:space="preserve">The </w:t>
      </w:r>
      <w:r w:rsidR="001A35BA" w:rsidRPr="00600AFD">
        <w:rPr>
          <w:rFonts w:ascii="Times New Roman" w:hAnsi="Times New Roman" w:cs="Times New Roman"/>
          <w:szCs w:val="24"/>
        </w:rPr>
        <w:t xml:space="preserve">Development </w:t>
      </w:r>
      <w:r w:rsidR="00CB253D" w:rsidRPr="00600AFD">
        <w:rPr>
          <w:rFonts w:ascii="Times New Roman" w:hAnsi="Times New Roman" w:cs="Times New Roman"/>
          <w:szCs w:val="24"/>
        </w:rPr>
        <w:t xml:space="preserve">Judicial Strategy </w:t>
      </w:r>
      <w:r w:rsidR="00DC042A" w:rsidRPr="00600AFD">
        <w:rPr>
          <w:rFonts w:ascii="Times New Roman" w:hAnsi="Times New Roman" w:cs="Times New Roman"/>
          <w:szCs w:val="24"/>
        </w:rPr>
        <w:t>lays out</w:t>
      </w:r>
      <w:r w:rsidR="00A3763E" w:rsidRPr="00600AFD">
        <w:rPr>
          <w:rFonts w:ascii="Times New Roman" w:hAnsi="Times New Roman" w:cs="Times New Roman"/>
          <w:szCs w:val="24"/>
        </w:rPr>
        <w:t xml:space="preserve"> the</w:t>
      </w:r>
      <w:r w:rsidR="00DC042A" w:rsidRPr="00600AFD">
        <w:rPr>
          <w:rFonts w:ascii="Times New Roman" w:hAnsi="Times New Roman" w:cs="Times New Roman"/>
          <w:szCs w:val="24"/>
        </w:rPr>
        <w:t xml:space="preserve"> general and specific </w:t>
      </w:r>
      <w:r w:rsidR="009F7E09" w:rsidRPr="00600AFD">
        <w:rPr>
          <w:rFonts w:ascii="Times New Roman" w:hAnsi="Times New Roman" w:cs="Times New Roman"/>
          <w:szCs w:val="24"/>
        </w:rPr>
        <w:t>objectives</w:t>
      </w:r>
      <w:r w:rsidR="00DC042A" w:rsidRPr="00600AFD">
        <w:rPr>
          <w:rFonts w:ascii="Times New Roman" w:hAnsi="Times New Roman" w:cs="Times New Roman"/>
          <w:szCs w:val="24"/>
        </w:rPr>
        <w:t xml:space="preserve">, as well as priorities, whose implementation is to </w:t>
      </w:r>
      <w:r w:rsidR="004E60AA" w:rsidRPr="00600AFD">
        <w:rPr>
          <w:rFonts w:ascii="Times New Roman" w:hAnsi="Times New Roman" w:cs="Times New Roman"/>
          <w:szCs w:val="24"/>
        </w:rPr>
        <w:t xml:space="preserve">ensure a stable and safe environment </w:t>
      </w:r>
      <w:r w:rsidR="00FF4193" w:rsidRPr="00600AFD">
        <w:rPr>
          <w:rFonts w:ascii="Times New Roman" w:hAnsi="Times New Roman" w:cs="Times New Roman"/>
          <w:szCs w:val="24"/>
        </w:rPr>
        <w:t>for a higher</w:t>
      </w:r>
      <w:r w:rsidR="000F3999">
        <w:rPr>
          <w:rFonts w:ascii="Times New Roman" w:hAnsi="Times New Roman" w:cs="Times New Roman"/>
          <w:szCs w:val="24"/>
        </w:rPr>
        <w:t>–</w:t>
      </w:r>
      <w:r w:rsidR="00FF4193" w:rsidRPr="00600AFD">
        <w:rPr>
          <w:rFonts w:ascii="Times New Roman" w:hAnsi="Times New Roman" w:cs="Times New Roman"/>
          <w:szCs w:val="24"/>
        </w:rPr>
        <w:t xml:space="preserve">quality and faster </w:t>
      </w:r>
      <w:r w:rsidR="00465EB7" w:rsidRPr="00600AFD">
        <w:rPr>
          <w:rFonts w:ascii="Times New Roman" w:hAnsi="Times New Roman" w:cs="Times New Roman"/>
          <w:szCs w:val="24"/>
        </w:rPr>
        <w:t>advancement of the judicial system in the Republic of Serbia in accordance with the requirements and pace of E</w:t>
      </w:r>
      <w:r w:rsidR="00E76CC0" w:rsidRPr="00600AFD">
        <w:rPr>
          <w:rFonts w:ascii="Times New Roman" w:hAnsi="Times New Roman" w:cs="Times New Roman"/>
          <w:szCs w:val="24"/>
        </w:rPr>
        <w:t xml:space="preserve">U accession negotiations. </w:t>
      </w:r>
    </w:p>
    <w:p w14:paraId="3952D850" w14:textId="77777777" w:rsidR="009B0647" w:rsidRPr="00600AFD" w:rsidRDefault="009B0647" w:rsidP="009B0647">
      <w:pPr>
        <w:spacing w:before="120" w:after="0" w:line="276" w:lineRule="auto"/>
        <w:rPr>
          <w:rFonts w:ascii="Times New Roman" w:hAnsi="Times New Roman" w:cs="Times New Roman"/>
          <w:b/>
          <w:i/>
          <w:szCs w:val="24"/>
          <w:u w:val="single"/>
        </w:rPr>
      </w:pPr>
    </w:p>
    <w:p w14:paraId="3A415858" w14:textId="77777777" w:rsidR="00C62BCD" w:rsidRPr="00600AFD" w:rsidRDefault="00A3763E" w:rsidP="000F6FC2">
      <w:pPr>
        <w:spacing w:after="120" w:line="276" w:lineRule="auto"/>
        <w:rPr>
          <w:rFonts w:ascii="Times New Roman" w:hAnsi="Times New Roman" w:cs="Times New Roman"/>
          <w:b/>
          <w:i/>
          <w:szCs w:val="24"/>
          <w:u w:val="single"/>
        </w:rPr>
      </w:pPr>
      <w:r w:rsidRPr="00600AFD">
        <w:rPr>
          <w:rFonts w:ascii="Times New Roman" w:hAnsi="Times New Roman" w:cs="Times New Roman"/>
          <w:b/>
          <w:i/>
          <w:szCs w:val="24"/>
          <w:u w:val="single"/>
        </w:rPr>
        <w:t>Strategy’s S</w:t>
      </w:r>
      <w:r w:rsidR="00C45655" w:rsidRPr="00600AFD">
        <w:rPr>
          <w:rFonts w:ascii="Times New Roman" w:hAnsi="Times New Roman" w:cs="Times New Roman"/>
          <w:b/>
          <w:i/>
          <w:szCs w:val="24"/>
          <w:u w:val="single"/>
        </w:rPr>
        <w:t xml:space="preserve">pecific </w:t>
      </w:r>
      <w:r w:rsidRPr="00600AFD">
        <w:rPr>
          <w:rFonts w:ascii="Times New Roman" w:hAnsi="Times New Roman" w:cs="Times New Roman"/>
          <w:b/>
          <w:i/>
          <w:szCs w:val="24"/>
          <w:u w:val="single"/>
        </w:rPr>
        <w:t>O</w:t>
      </w:r>
      <w:r w:rsidR="008B4981" w:rsidRPr="00600AFD">
        <w:rPr>
          <w:rFonts w:ascii="Times New Roman" w:hAnsi="Times New Roman" w:cs="Times New Roman"/>
          <w:b/>
          <w:i/>
          <w:szCs w:val="24"/>
          <w:u w:val="single"/>
        </w:rPr>
        <w:t>bjectives</w:t>
      </w:r>
      <w:r w:rsidR="00E05E57" w:rsidRPr="00600AFD">
        <w:rPr>
          <w:rFonts w:ascii="Times New Roman" w:hAnsi="Times New Roman" w:cs="Times New Roman"/>
          <w:b/>
          <w:i/>
          <w:szCs w:val="24"/>
          <w:u w:val="single"/>
        </w:rPr>
        <w:t>:</w:t>
      </w:r>
    </w:p>
    <w:tbl>
      <w:tblPr>
        <w:tblStyle w:val="TableGrid"/>
        <w:tblW w:w="0" w:type="auto"/>
        <w:tblLook w:val="04A0" w:firstRow="1" w:lastRow="0" w:firstColumn="1" w:lastColumn="0" w:noHBand="0" w:noVBand="1"/>
      </w:tblPr>
      <w:tblGrid>
        <w:gridCol w:w="9350"/>
      </w:tblGrid>
      <w:tr w:rsidR="000A4E98" w:rsidRPr="00600AFD" w14:paraId="725D2977" w14:textId="77777777" w:rsidTr="00D708A9">
        <w:tc>
          <w:tcPr>
            <w:tcW w:w="9350" w:type="dxa"/>
            <w:tcBorders>
              <w:bottom w:val="single" w:sz="4" w:space="0" w:color="auto"/>
            </w:tcBorders>
            <w:shd w:val="clear" w:color="auto" w:fill="D9E2F3" w:themeFill="accent1" w:themeFillTint="33"/>
          </w:tcPr>
          <w:p w14:paraId="77E6F54B" w14:textId="77777777" w:rsidR="000A4E98" w:rsidRPr="00600AFD" w:rsidRDefault="00C45655" w:rsidP="000A4E98">
            <w:pPr>
              <w:spacing w:before="120" w:after="120" w:line="276" w:lineRule="auto"/>
              <w:rPr>
                <w:rFonts w:ascii="Times New Roman" w:hAnsi="Times New Roman" w:cs="Times New Roman"/>
                <w:b/>
                <w:i/>
                <w:szCs w:val="24"/>
                <w:u w:val="single"/>
              </w:rPr>
            </w:pPr>
            <w:r w:rsidRPr="00600AFD">
              <w:rPr>
                <w:rFonts w:ascii="Times New Roman" w:hAnsi="Times New Roman" w:cs="Times New Roman"/>
                <w:b/>
                <w:i/>
                <w:szCs w:val="24"/>
                <w:u w:val="single"/>
              </w:rPr>
              <w:t xml:space="preserve">Specific </w:t>
            </w:r>
            <w:r w:rsidR="00BB2CC2" w:rsidRPr="00600AFD">
              <w:rPr>
                <w:rFonts w:ascii="Times New Roman" w:hAnsi="Times New Roman" w:cs="Times New Roman"/>
                <w:b/>
                <w:i/>
                <w:szCs w:val="24"/>
                <w:u w:val="single"/>
              </w:rPr>
              <w:t>objective</w:t>
            </w:r>
            <w:r w:rsidR="000A4E98" w:rsidRPr="00600AFD">
              <w:rPr>
                <w:rFonts w:ascii="Times New Roman" w:hAnsi="Times New Roman" w:cs="Times New Roman"/>
                <w:b/>
                <w:i/>
                <w:szCs w:val="24"/>
                <w:u w:val="single"/>
              </w:rPr>
              <w:t xml:space="preserve"> </w:t>
            </w:r>
            <w:r w:rsidR="003D7973" w:rsidRPr="00600AFD">
              <w:rPr>
                <w:rFonts w:ascii="Times New Roman" w:hAnsi="Times New Roman" w:cs="Times New Roman"/>
                <w:b/>
                <w:i/>
                <w:szCs w:val="24"/>
                <w:u w:val="single"/>
              </w:rPr>
              <w:t xml:space="preserve">1 – Strengthening </w:t>
            </w:r>
            <w:r w:rsidR="005C02C8" w:rsidRPr="00600AFD">
              <w:rPr>
                <w:rFonts w:ascii="Times New Roman" w:hAnsi="Times New Roman" w:cs="Times New Roman"/>
                <w:b/>
                <w:i/>
                <w:szCs w:val="24"/>
                <w:u w:val="single"/>
              </w:rPr>
              <w:t xml:space="preserve">judiciary’s </w:t>
            </w:r>
            <w:r w:rsidR="001A1D46" w:rsidRPr="00600AFD">
              <w:rPr>
                <w:rFonts w:ascii="Times New Roman" w:hAnsi="Times New Roman" w:cs="Times New Roman"/>
                <w:b/>
                <w:i/>
                <w:szCs w:val="24"/>
                <w:u w:val="single"/>
              </w:rPr>
              <w:t>i</w:t>
            </w:r>
            <w:r w:rsidR="003D7973" w:rsidRPr="00600AFD">
              <w:rPr>
                <w:rFonts w:ascii="Times New Roman" w:hAnsi="Times New Roman" w:cs="Times New Roman"/>
                <w:b/>
                <w:i/>
                <w:szCs w:val="24"/>
                <w:u w:val="single"/>
              </w:rPr>
              <w:t xml:space="preserve">ndependence and </w:t>
            </w:r>
            <w:r w:rsidR="001A1D46" w:rsidRPr="00600AFD">
              <w:rPr>
                <w:rFonts w:ascii="Times New Roman" w:hAnsi="Times New Roman" w:cs="Times New Roman"/>
                <w:b/>
                <w:i/>
                <w:szCs w:val="24"/>
                <w:u w:val="single"/>
              </w:rPr>
              <w:t>a</w:t>
            </w:r>
            <w:r w:rsidR="003D7973" w:rsidRPr="00600AFD">
              <w:rPr>
                <w:rFonts w:ascii="Times New Roman" w:hAnsi="Times New Roman" w:cs="Times New Roman"/>
                <w:b/>
                <w:i/>
                <w:szCs w:val="24"/>
                <w:u w:val="single"/>
              </w:rPr>
              <w:t>utonomy</w:t>
            </w:r>
            <w:r w:rsidR="000A4E98" w:rsidRPr="00600AFD">
              <w:rPr>
                <w:rFonts w:ascii="Times New Roman" w:hAnsi="Times New Roman" w:cs="Times New Roman"/>
                <w:b/>
                <w:i/>
                <w:szCs w:val="24"/>
                <w:u w:val="single"/>
              </w:rPr>
              <w:t xml:space="preserve"> </w:t>
            </w:r>
          </w:p>
        </w:tc>
      </w:tr>
      <w:tr w:rsidR="000A4E98" w:rsidRPr="00600AFD" w14:paraId="31F18ABA" w14:textId="77777777" w:rsidTr="00D708A9">
        <w:tc>
          <w:tcPr>
            <w:tcW w:w="9350" w:type="dxa"/>
            <w:tcBorders>
              <w:left w:val="nil"/>
              <w:bottom w:val="nil"/>
              <w:right w:val="nil"/>
            </w:tcBorders>
          </w:tcPr>
          <w:p w14:paraId="7B0CB7BB" w14:textId="681C471C" w:rsidR="00446BD8" w:rsidRPr="00600AFD" w:rsidRDefault="005C02C8" w:rsidP="00A3763E">
            <w:pPr>
              <w:spacing w:after="120" w:line="276" w:lineRule="auto"/>
              <w:rPr>
                <w:rFonts w:ascii="Times New Roman" w:hAnsi="Times New Roman" w:cs="Times New Roman"/>
                <w:b/>
                <w:i/>
                <w:szCs w:val="24"/>
                <w:u w:val="single"/>
              </w:rPr>
            </w:pPr>
            <w:r w:rsidRPr="00600AFD">
              <w:rPr>
                <w:rFonts w:ascii="Times New Roman" w:hAnsi="Times New Roman" w:cs="Times New Roman"/>
                <w:szCs w:val="24"/>
              </w:rPr>
              <w:t xml:space="preserve">Further advancement of the normative framework </w:t>
            </w:r>
            <w:r w:rsidR="00A72713" w:rsidRPr="00600AFD">
              <w:rPr>
                <w:rFonts w:ascii="Times New Roman" w:hAnsi="Times New Roman" w:cs="Times New Roman"/>
                <w:szCs w:val="24"/>
              </w:rPr>
              <w:t>and strengthening of institutional mechanisms</w:t>
            </w:r>
            <w:r w:rsidR="00CB2EFD" w:rsidRPr="00600AFD">
              <w:rPr>
                <w:rFonts w:ascii="Times New Roman" w:hAnsi="Times New Roman" w:cs="Times New Roman"/>
                <w:szCs w:val="24"/>
              </w:rPr>
              <w:t xml:space="preserve"> </w:t>
            </w:r>
            <w:r w:rsidR="00A3763E" w:rsidRPr="00600AFD">
              <w:rPr>
                <w:rFonts w:ascii="Times New Roman" w:hAnsi="Times New Roman" w:cs="Times New Roman"/>
                <w:szCs w:val="24"/>
              </w:rPr>
              <w:t>securing</w:t>
            </w:r>
            <w:r w:rsidR="00CB2EFD" w:rsidRPr="00600AFD">
              <w:rPr>
                <w:rFonts w:ascii="Times New Roman" w:hAnsi="Times New Roman" w:cs="Times New Roman"/>
                <w:szCs w:val="24"/>
              </w:rPr>
              <w:t xml:space="preserve"> a judicial system </w:t>
            </w:r>
            <w:r w:rsidR="002C62A4" w:rsidRPr="00600AFD">
              <w:rPr>
                <w:rFonts w:ascii="Times New Roman" w:hAnsi="Times New Roman" w:cs="Times New Roman"/>
                <w:szCs w:val="24"/>
              </w:rPr>
              <w:t xml:space="preserve">in which judicial institutions and judicial office holders are </w:t>
            </w:r>
            <w:r w:rsidR="00680F14" w:rsidRPr="00600AFD">
              <w:rPr>
                <w:rFonts w:ascii="Times New Roman" w:hAnsi="Times New Roman" w:cs="Times New Roman"/>
                <w:szCs w:val="24"/>
              </w:rPr>
              <w:t xml:space="preserve">free from any </w:t>
            </w:r>
            <w:r w:rsidR="00EC5B00" w:rsidRPr="00600AFD">
              <w:rPr>
                <w:rFonts w:ascii="Times New Roman" w:hAnsi="Times New Roman" w:cs="Times New Roman"/>
                <w:szCs w:val="24"/>
              </w:rPr>
              <w:t>improper</w:t>
            </w:r>
            <w:r w:rsidR="00680F14" w:rsidRPr="00600AFD">
              <w:rPr>
                <w:rFonts w:ascii="Times New Roman" w:hAnsi="Times New Roman" w:cs="Times New Roman"/>
                <w:szCs w:val="24"/>
              </w:rPr>
              <w:t xml:space="preserve"> or illicit influence </w:t>
            </w:r>
            <w:r w:rsidR="001D62EE" w:rsidRPr="00600AFD">
              <w:rPr>
                <w:rFonts w:ascii="Times New Roman" w:hAnsi="Times New Roman" w:cs="Times New Roman"/>
                <w:szCs w:val="24"/>
              </w:rPr>
              <w:t xml:space="preserve">and pressure which would </w:t>
            </w:r>
            <w:r w:rsidR="00834B52" w:rsidRPr="00600AFD">
              <w:rPr>
                <w:rFonts w:ascii="Times New Roman" w:hAnsi="Times New Roman" w:cs="Times New Roman"/>
                <w:szCs w:val="24"/>
              </w:rPr>
              <w:t xml:space="preserve">interfere with </w:t>
            </w:r>
            <w:r w:rsidR="00BB151A" w:rsidRPr="00600AFD">
              <w:rPr>
                <w:rFonts w:ascii="Times New Roman" w:hAnsi="Times New Roman" w:cs="Times New Roman"/>
                <w:szCs w:val="24"/>
              </w:rPr>
              <w:t xml:space="preserve">the administration of justice. </w:t>
            </w:r>
            <w:r w:rsidR="006B34E2" w:rsidRPr="00600AFD">
              <w:rPr>
                <w:rFonts w:ascii="Times New Roman" w:hAnsi="Times New Roman" w:cs="Times New Roman"/>
                <w:szCs w:val="24"/>
              </w:rPr>
              <w:t xml:space="preserve">The procedure for </w:t>
            </w:r>
            <w:r w:rsidR="00D63503" w:rsidRPr="00600AFD">
              <w:rPr>
                <w:rFonts w:ascii="Times New Roman" w:hAnsi="Times New Roman" w:cs="Times New Roman"/>
                <w:szCs w:val="24"/>
              </w:rPr>
              <w:t xml:space="preserve">nomination, </w:t>
            </w:r>
            <w:r w:rsidR="00AB1DB5" w:rsidRPr="00600AFD">
              <w:rPr>
                <w:rFonts w:ascii="Times New Roman" w:hAnsi="Times New Roman" w:cs="Times New Roman"/>
                <w:szCs w:val="24"/>
              </w:rPr>
              <w:t>election</w:t>
            </w:r>
            <w:r w:rsidR="00D63503" w:rsidRPr="00600AFD">
              <w:rPr>
                <w:rFonts w:ascii="Times New Roman" w:hAnsi="Times New Roman" w:cs="Times New Roman"/>
                <w:szCs w:val="24"/>
              </w:rPr>
              <w:t xml:space="preserve">, promotion, </w:t>
            </w:r>
            <w:r w:rsidR="00B36868" w:rsidRPr="00600AFD">
              <w:rPr>
                <w:rFonts w:ascii="Times New Roman" w:hAnsi="Times New Roman" w:cs="Times New Roman"/>
                <w:szCs w:val="24"/>
              </w:rPr>
              <w:t xml:space="preserve">transfer and termination of office </w:t>
            </w:r>
            <w:r w:rsidR="00170EBC" w:rsidRPr="00600AFD">
              <w:rPr>
                <w:rFonts w:ascii="Times New Roman" w:hAnsi="Times New Roman" w:cs="Times New Roman"/>
                <w:szCs w:val="24"/>
              </w:rPr>
              <w:t xml:space="preserve">must be based on clear, objective and </w:t>
            </w:r>
            <w:r w:rsidR="00B55554" w:rsidRPr="00600AFD">
              <w:rPr>
                <w:rFonts w:ascii="Times New Roman" w:hAnsi="Times New Roman" w:cs="Times New Roman"/>
                <w:szCs w:val="24"/>
              </w:rPr>
              <w:t>pre</w:t>
            </w:r>
            <w:r w:rsidR="000F3999">
              <w:rPr>
                <w:rFonts w:ascii="Times New Roman" w:hAnsi="Times New Roman" w:cs="Times New Roman"/>
                <w:szCs w:val="24"/>
              </w:rPr>
              <w:t>–</w:t>
            </w:r>
            <w:r w:rsidR="00B55554" w:rsidRPr="00600AFD">
              <w:rPr>
                <w:rFonts w:ascii="Times New Roman" w:hAnsi="Times New Roman" w:cs="Times New Roman"/>
                <w:szCs w:val="24"/>
              </w:rPr>
              <w:t>determined</w:t>
            </w:r>
            <w:r w:rsidR="00170EBC" w:rsidRPr="00600AFD">
              <w:rPr>
                <w:rFonts w:ascii="Times New Roman" w:hAnsi="Times New Roman" w:cs="Times New Roman"/>
                <w:szCs w:val="24"/>
              </w:rPr>
              <w:t xml:space="preserve"> </w:t>
            </w:r>
            <w:r w:rsidR="00952EC3" w:rsidRPr="00600AFD">
              <w:rPr>
                <w:rFonts w:ascii="Times New Roman" w:hAnsi="Times New Roman" w:cs="Times New Roman"/>
                <w:szCs w:val="24"/>
              </w:rPr>
              <w:t>criteria, fair, transparent</w:t>
            </w:r>
            <w:r w:rsidR="00A3763E" w:rsidRPr="00600AFD">
              <w:rPr>
                <w:rFonts w:ascii="Times New Roman" w:hAnsi="Times New Roman" w:cs="Times New Roman"/>
                <w:szCs w:val="24"/>
              </w:rPr>
              <w:t>,</w:t>
            </w:r>
            <w:r w:rsidR="00952EC3" w:rsidRPr="00600AFD">
              <w:rPr>
                <w:rFonts w:ascii="Times New Roman" w:hAnsi="Times New Roman" w:cs="Times New Roman"/>
                <w:szCs w:val="24"/>
              </w:rPr>
              <w:t xml:space="preserve"> and devoid of any political and </w:t>
            </w:r>
            <w:r w:rsidR="00790715" w:rsidRPr="00600AFD">
              <w:rPr>
                <w:rFonts w:ascii="Times New Roman" w:hAnsi="Times New Roman" w:cs="Times New Roman"/>
                <w:szCs w:val="24"/>
              </w:rPr>
              <w:t>other influence of the legislative and executive authorities.</w:t>
            </w:r>
          </w:p>
        </w:tc>
      </w:tr>
    </w:tbl>
    <w:p w14:paraId="1A63DCE9" w14:textId="77777777" w:rsidR="000A4E98" w:rsidRPr="00600AFD" w:rsidRDefault="000A4E98" w:rsidP="00CF44E2">
      <w:pPr>
        <w:spacing w:after="0" w:line="276" w:lineRule="auto"/>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0A4E98" w:rsidRPr="00600AFD" w14:paraId="250F9D21" w14:textId="77777777" w:rsidTr="00D708A9">
        <w:tc>
          <w:tcPr>
            <w:tcW w:w="9350" w:type="dxa"/>
            <w:tcBorders>
              <w:bottom w:val="single" w:sz="4" w:space="0" w:color="auto"/>
            </w:tcBorders>
            <w:shd w:val="clear" w:color="auto" w:fill="D9E2F3" w:themeFill="accent1" w:themeFillTint="33"/>
          </w:tcPr>
          <w:p w14:paraId="041E9A3C" w14:textId="77777777" w:rsidR="000A4E98" w:rsidRPr="00600AFD" w:rsidRDefault="00C45655" w:rsidP="000A4E98">
            <w:pPr>
              <w:spacing w:before="120" w:after="120" w:line="276" w:lineRule="auto"/>
              <w:rPr>
                <w:rFonts w:ascii="Times New Roman" w:hAnsi="Times New Roman" w:cs="Times New Roman"/>
                <w:b/>
                <w:i/>
                <w:szCs w:val="24"/>
                <w:u w:val="single"/>
              </w:rPr>
            </w:pPr>
            <w:r w:rsidRPr="00600AFD">
              <w:rPr>
                <w:rFonts w:ascii="Times New Roman" w:hAnsi="Times New Roman" w:cs="Times New Roman"/>
                <w:b/>
                <w:i/>
                <w:szCs w:val="24"/>
                <w:u w:val="single"/>
              </w:rPr>
              <w:t xml:space="preserve">Specific </w:t>
            </w:r>
            <w:r w:rsidR="008D285F" w:rsidRPr="00600AFD">
              <w:rPr>
                <w:rFonts w:ascii="Times New Roman" w:hAnsi="Times New Roman" w:cs="Times New Roman"/>
                <w:b/>
                <w:i/>
                <w:szCs w:val="24"/>
                <w:u w:val="single"/>
              </w:rPr>
              <w:t>objective</w:t>
            </w:r>
            <w:r w:rsidR="000A4E98" w:rsidRPr="00600AFD">
              <w:rPr>
                <w:rFonts w:ascii="Times New Roman" w:hAnsi="Times New Roman" w:cs="Times New Roman"/>
                <w:b/>
                <w:i/>
                <w:szCs w:val="24"/>
                <w:u w:val="single"/>
              </w:rPr>
              <w:t xml:space="preserve"> 2</w:t>
            </w:r>
            <w:r w:rsidR="008D285F" w:rsidRPr="00600AFD">
              <w:rPr>
                <w:rFonts w:ascii="Times New Roman" w:hAnsi="Times New Roman" w:cs="Times New Roman"/>
                <w:b/>
                <w:i/>
                <w:szCs w:val="24"/>
                <w:u w:val="single"/>
              </w:rPr>
              <w:t xml:space="preserve"> –</w:t>
            </w:r>
            <w:r w:rsidR="000A4E98" w:rsidRPr="00600AFD">
              <w:rPr>
                <w:rFonts w:ascii="Times New Roman" w:hAnsi="Times New Roman" w:cs="Times New Roman"/>
                <w:b/>
                <w:i/>
                <w:szCs w:val="24"/>
                <w:u w:val="single"/>
              </w:rPr>
              <w:t xml:space="preserve"> </w:t>
            </w:r>
            <w:r w:rsidR="008D285F" w:rsidRPr="00600AFD">
              <w:rPr>
                <w:rFonts w:ascii="Times New Roman" w:hAnsi="Times New Roman" w:cs="Times New Roman"/>
                <w:b/>
                <w:i/>
                <w:szCs w:val="24"/>
                <w:u w:val="single"/>
              </w:rPr>
              <w:t xml:space="preserve">Advancement of </w:t>
            </w:r>
            <w:r w:rsidR="005C02C8" w:rsidRPr="00600AFD">
              <w:rPr>
                <w:rFonts w:ascii="Times New Roman" w:hAnsi="Times New Roman" w:cs="Times New Roman"/>
                <w:b/>
                <w:i/>
                <w:szCs w:val="24"/>
                <w:u w:val="single"/>
              </w:rPr>
              <w:t xml:space="preserve">judiciary’s </w:t>
            </w:r>
            <w:r w:rsidR="008D285F" w:rsidRPr="00600AFD">
              <w:rPr>
                <w:rFonts w:ascii="Times New Roman" w:hAnsi="Times New Roman" w:cs="Times New Roman"/>
                <w:b/>
                <w:i/>
                <w:szCs w:val="24"/>
                <w:u w:val="single"/>
              </w:rPr>
              <w:t>impartiality and accountability</w:t>
            </w:r>
          </w:p>
        </w:tc>
      </w:tr>
      <w:tr w:rsidR="000A4E98" w:rsidRPr="00600AFD" w14:paraId="575281CD" w14:textId="77777777" w:rsidTr="00D708A9">
        <w:tc>
          <w:tcPr>
            <w:tcW w:w="9350" w:type="dxa"/>
            <w:tcBorders>
              <w:left w:val="nil"/>
              <w:bottom w:val="nil"/>
              <w:right w:val="nil"/>
            </w:tcBorders>
          </w:tcPr>
          <w:p w14:paraId="630BD0B4" w14:textId="77777777" w:rsidR="000A4E98" w:rsidRPr="00600AFD" w:rsidRDefault="008D285F" w:rsidP="000A4E98">
            <w:pPr>
              <w:spacing w:line="276" w:lineRule="auto"/>
              <w:rPr>
                <w:rFonts w:ascii="Times New Roman" w:hAnsi="Times New Roman" w:cs="Times New Roman"/>
                <w:szCs w:val="24"/>
              </w:rPr>
            </w:pPr>
            <w:r w:rsidRPr="00600AFD">
              <w:rPr>
                <w:rFonts w:ascii="Times New Roman" w:hAnsi="Times New Roman" w:cs="Times New Roman"/>
                <w:szCs w:val="24"/>
              </w:rPr>
              <w:t xml:space="preserve">Further advancement and consistent </w:t>
            </w:r>
            <w:r w:rsidR="00A26011" w:rsidRPr="00600AFD">
              <w:rPr>
                <w:rFonts w:ascii="Times New Roman" w:hAnsi="Times New Roman" w:cs="Times New Roman"/>
                <w:szCs w:val="24"/>
              </w:rPr>
              <w:t>implementation</w:t>
            </w:r>
            <w:r w:rsidRPr="00600AFD">
              <w:rPr>
                <w:rFonts w:ascii="Times New Roman" w:hAnsi="Times New Roman" w:cs="Times New Roman"/>
                <w:szCs w:val="24"/>
              </w:rPr>
              <w:t xml:space="preserve"> of the normative framework </w:t>
            </w:r>
            <w:r w:rsidR="006B3E25" w:rsidRPr="00600AFD">
              <w:rPr>
                <w:rFonts w:ascii="Times New Roman" w:hAnsi="Times New Roman" w:cs="Times New Roman"/>
                <w:szCs w:val="24"/>
              </w:rPr>
              <w:t xml:space="preserve">ensuring access to justice </w:t>
            </w:r>
            <w:r w:rsidR="0007479E" w:rsidRPr="00600AFD">
              <w:rPr>
                <w:rFonts w:ascii="Times New Roman" w:hAnsi="Times New Roman" w:cs="Times New Roman"/>
                <w:szCs w:val="24"/>
              </w:rPr>
              <w:t xml:space="preserve">for </w:t>
            </w:r>
            <w:r w:rsidR="00C26AA9" w:rsidRPr="00600AFD">
              <w:rPr>
                <w:rFonts w:ascii="Times New Roman" w:hAnsi="Times New Roman" w:cs="Times New Roman"/>
                <w:szCs w:val="24"/>
              </w:rPr>
              <w:t xml:space="preserve">each and every individual in the judicial system of the Republic of Serbia </w:t>
            </w:r>
            <w:r w:rsidR="00E7572C" w:rsidRPr="00600AFD">
              <w:rPr>
                <w:rFonts w:ascii="Times New Roman" w:hAnsi="Times New Roman" w:cs="Times New Roman"/>
                <w:szCs w:val="24"/>
              </w:rPr>
              <w:t xml:space="preserve">under equal </w:t>
            </w:r>
            <w:r w:rsidR="00B44B6E" w:rsidRPr="00600AFD">
              <w:rPr>
                <w:rFonts w:ascii="Times New Roman" w:hAnsi="Times New Roman" w:cs="Times New Roman"/>
                <w:szCs w:val="24"/>
              </w:rPr>
              <w:t xml:space="preserve">conditions, devoid of discrimination on any grounds and </w:t>
            </w:r>
            <w:r w:rsidR="0007479E" w:rsidRPr="00600AFD">
              <w:rPr>
                <w:rFonts w:ascii="Times New Roman" w:hAnsi="Times New Roman" w:cs="Times New Roman"/>
                <w:szCs w:val="24"/>
              </w:rPr>
              <w:t>with equal opportunities to protect</w:t>
            </w:r>
            <w:r w:rsidR="00270066" w:rsidRPr="00600AFD">
              <w:rPr>
                <w:rFonts w:ascii="Times New Roman" w:hAnsi="Times New Roman" w:cs="Times New Roman"/>
                <w:szCs w:val="24"/>
              </w:rPr>
              <w:t xml:space="preserve"> and exercise his/her rights and interests. At the same time, </w:t>
            </w:r>
            <w:r w:rsidR="00BA06D7" w:rsidRPr="00600AFD">
              <w:rPr>
                <w:rFonts w:ascii="Times New Roman" w:hAnsi="Times New Roman" w:cs="Times New Roman"/>
                <w:szCs w:val="24"/>
              </w:rPr>
              <w:t xml:space="preserve">mechanisms for accountability of judicial institutions and judicial office holders </w:t>
            </w:r>
            <w:r w:rsidR="001A1D46" w:rsidRPr="00600AFD">
              <w:rPr>
                <w:rFonts w:ascii="Times New Roman" w:hAnsi="Times New Roman" w:cs="Times New Roman"/>
                <w:szCs w:val="24"/>
              </w:rPr>
              <w:t xml:space="preserve">in terms of the </w:t>
            </w:r>
            <w:r w:rsidR="005A77F5" w:rsidRPr="00600AFD">
              <w:rPr>
                <w:rFonts w:ascii="Times New Roman" w:hAnsi="Times New Roman" w:cs="Times New Roman"/>
                <w:szCs w:val="24"/>
              </w:rPr>
              <w:t>quality and results</w:t>
            </w:r>
            <w:r w:rsidR="00CC76AC" w:rsidRPr="00600AFD">
              <w:rPr>
                <w:rFonts w:ascii="Times New Roman" w:hAnsi="Times New Roman" w:cs="Times New Roman"/>
                <w:szCs w:val="24"/>
              </w:rPr>
              <w:t xml:space="preserve"> of their work and utilization of allocated resources</w:t>
            </w:r>
            <w:r w:rsidR="009714E7" w:rsidRPr="00600AFD">
              <w:rPr>
                <w:rFonts w:ascii="Times New Roman" w:hAnsi="Times New Roman" w:cs="Times New Roman"/>
                <w:szCs w:val="24"/>
              </w:rPr>
              <w:t xml:space="preserve"> </w:t>
            </w:r>
            <w:r w:rsidR="001A1D46" w:rsidRPr="00600AFD">
              <w:rPr>
                <w:rFonts w:ascii="Times New Roman" w:hAnsi="Times New Roman" w:cs="Times New Roman"/>
                <w:szCs w:val="24"/>
              </w:rPr>
              <w:t xml:space="preserve">are functioning efficiently. </w:t>
            </w:r>
          </w:p>
        </w:tc>
      </w:tr>
    </w:tbl>
    <w:p w14:paraId="134A6B58" w14:textId="77777777" w:rsidR="000A4E98" w:rsidRPr="00600AFD" w:rsidRDefault="000A4E98" w:rsidP="00CF44E2">
      <w:pPr>
        <w:spacing w:after="0" w:line="276" w:lineRule="auto"/>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0A4E98" w:rsidRPr="00600AFD" w14:paraId="3790167B" w14:textId="77777777" w:rsidTr="00D708A9">
        <w:tc>
          <w:tcPr>
            <w:tcW w:w="9350" w:type="dxa"/>
            <w:tcBorders>
              <w:bottom w:val="single" w:sz="4" w:space="0" w:color="auto"/>
            </w:tcBorders>
            <w:shd w:val="clear" w:color="auto" w:fill="D9E2F3" w:themeFill="accent1" w:themeFillTint="33"/>
          </w:tcPr>
          <w:p w14:paraId="2904C897" w14:textId="77777777" w:rsidR="000A4E98" w:rsidRPr="00600AFD" w:rsidRDefault="00C45655" w:rsidP="000A4E98">
            <w:pPr>
              <w:spacing w:before="120" w:after="120" w:line="276" w:lineRule="auto"/>
              <w:rPr>
                <w:rFonts w:ascii="Times New Roman" w:hAnsi="Times New Roman" w:cs="Times New Roman"/>
                <w:b/>
                <w:i/>
                <w:szCs w:val="24"/>
                <w:u w:val="single"/>
              </w:rPr>
            </w:pPr>
            <w:r w:rsidRPr="00600AFD">
              <w:rPr>
                <w:rFonts w:ascii="Times New Roman" w:hAnsi="Times New Roman" w:cs="Times New Roman"/>
                <w:b/>
                <w:i/>
                <w:szCs w:val="24"/>
                <w:u w:val="single"/>
              </w:rPr>
              <w:t xml:space="preserve">Specific </w:t>
            </w:r>
            <w:r w:rsidR="00184C40" w:rsidRPr="00600AFD">
              <w:rPr>
                <w:rFonts w:ascii="Times New Roman" w:hAnsi="Times New Roman" w:cs="Times New Roman"/>
                <w:b/>
                <w:i/>
                <w:szCs w:val="24"/>
                <w:u w:val="single"/>
              </w:rPr>
              <w:t>objective</w:t>
            </w:r>
            <w:r w:rsidR="000A4E98" w:rsidRPr="00600AFD">
              <w:rPr>
                <w:rFonts w:ascii="Times New Roman" w:hAnsi="Times New Roman" w:cs="Times New Roman"/>
                <w:b/>
                <w:i/>
                <w:szCs w:val="24"/>
                <w:u w:val="single"/>
              </w:rPr>
              <w:t xml:space="preserve"> 3</w:t>
            </w:r>
            <w:r w:rsidR="002C41C8" w:rsidRPr="00600AFD">
              <w:rPr>
                <w:rFonts w:ascii="Times New Roman" w:hAnsi="Times New Roman" w:cs="Times New Roman"/>
                <w:b/>
                <w:i/>
                <w:szCs w:val="24"/>
                <w:u w:val="single"/>
              </w:rPr>
              <w:t xml:space="preserve"> –</w:t>
            </w:r>
            <w:r w:rsidR="000A4E98" w:rsidRPr="00600AFD">
              <w:rPr>
                <w:rFonts w:ascii="Times New Roman" w:hAnsi="Times New Roman" w:cs="Times New Roman"/>
                <w:b/>
                <w:i/>
                <w:szCs w:val="24"/>
                <w:u w:val="single"/>
              </w:rPr>
              <w:t xml:space="preserve"> </w:t>
            </w:r>
            <w:r w:rsidR="002C41C8" w:rsidRPr="00600AFD">
              <w:rPr>
                <w:rFonts w:ascii="Times New Roman" w:hAnsi="Times New Roman" w:cs="Times New Roman"/>
                <w:b/>
                <w:i/>
                <w:szCs w:val="24"/>
                <w:u w:val="single"/>
              </w:rPr>
              <w:t xml:space="preserve">Advancement of </w:t>
            </w:r>
            <w:r w:rsidR="003D7973" w:rsidRPr="00600AFD">
              <w:rPr>
                <w:rFonts w:ascii="Times New Roman" w:hAnsi="Times New Roman" w:cs="Times New Roman"/>
                <w:b/>
                <w:i/>
                <w:szCs w:val="24"/>
                <w:u w:val="single"/>
              </w:rPr>
              <w:t>j</w:t>
            </w:r>
            <w:r w:rsidR="002C41C8" w:rsidRPr="00600AFD">
              <w:rPr>
                <w:rFonts w:ascii="Times New Roman" w:hAnsi="Times New Roman" w:cs="Times New Roman"/>
                <w:b/>
                <w:i/>
                <w:szCs w:val="24"/>
                <w:u w:val="single"/>
              </w:rPr>
              <w:t xml:space="preserve">udicial </w:t>
            </w:r>
            <w:r w:rsidR="003D7973" w:rsidRPr="00600AFD">
              <w:rPr>
                <w:rFonts w:ascii="Times New Roman" w:hAnsi="Times New Roman" w:cs="Times New Roman"/>
                <w:b/>
                <w:i/>
                <w:szCs w:val="24"/>
                <w:u w:val="single"/>
              </w:rPr>
              <w:t>c</w:t>
            </w:r>
            <w:r w:rsidR="002C41C8" w:rsidRPr="00600AFD">
              <w:rPr>
                <w:rFonts w:ascii="Times New Roman" w:hAnsi="Times New Roman" w:cs="Times New Roman"/>
                <w:b/>
                <w:i/>
                <w:szCs w:val="24"/>
                <w:u w:val="single"/>
              </w:rPr>
              <w:t>ompetence</w:t>
            </w:r>
            <w:r w:rsidR="00943F62" w:rsidRPr="00600AFD">
              <w:rPr>
                <w:rFonts w:ascii="Times New Roman" w:hAnsi="Times New Roman" w:cs="Times New Roman"/>
                <w:b/>
                <w:i/>
                <w:szCs w:val="24"/>
                <w:u w:val="single"/>
              </w:rPr>
              <w:t>s</w:t>
            </w:r>
          </w:p>
        </w:tc>
      </w:tr>
      <w:tr w:rsidR="000A4E98" w:rsidRPr="00600AFD" w14:paraId="0595C875" w14:textId="77777777" w:rsidTr="00D708A9">
        <w:tc>
          <w:tcPr>
            <w:tcW w:w="9350" w:type="dxa"/>
            <w:tcBorders>
              <w:left w:val="nil"/>
              <w:bottom w:val="nil"/>
              <w:right w:val="nil"/>
            </w:tcBorders>
          </w:tcPr>
          <w:p w14:paraId="1406EE26" w14:textId="5EC5D4E7" w:rsidR="000A4E98" w:rsidRPr="00600AFD" w:rsidRDefault="00943F62" w:rsidP="00E639EB">
            <w:pPr>
              <w:spacing w:line="276" w:lineRule="auto"/>
              <w:rPr>
                <w:rFonts w:ascii="Times New Roman" w:hAnsi="Times New Roman" w:cs="Times New Roman"/>
                <w:szCs w:val="24"/>
              </w:rPr>
            </w:pPr>
            <w:r w:rsidRPr="00600AFD">
              <w:rPr>
                <w:rFonts w:ascii="Times New Roman" w:hAnsi="Times New Roman" w:cs="Times New Roman"/>
                <w:szCs w:val="24"/>
              </w:rPr>
              <w:t xml:space="preserve">Further development of the judicial system </w:t>
            </w:r>
            <w:r w:rsidR="00341C97" w:rsidRPr="00600AFD">
              <w:rPr>
                <w:rFonts w:ascii="Times New Roman" w:hAnsi="Times New Roman" w:cs="Times New Roman"/>
                <w:szCs w:val="24"/>
              </w:rPr>
              <w:t>in which</w:t>
            </w:r>
            <w:r w:rsidR="00916942" w:rsidRPr="00600AFD">
              <w:rPr>
                <w:rFonts w:ascii="Times New Roman" w:hAnsi="Times New Roman" w:cs="Times New Roman"/>
                <w:szCs w:val="24"/>
              </w:rPr>
              <w:t xml:space="preserve"> the</w:t>
            </w:r>
            <w:r w:rsidR="00CB702D" w:rsidRPr="00600AFD">
              <w:rPr>
                <w:rFonts w:ascii="Times New Roman" w:hAnsi="Times New Roman" w:cs="Times New Roman"/>
                <w:szCs w:val="24"/>
              </w:rPr>
              <w:t xml:space="preserve"> professional development of judicial office holders</w:t>
            </w:r>
            <w:r w:rsidR="00916942" w:rsidRPr="00600AFD">
              <w:rPr>
                <w:rFonts w:ascii="Times New Roman" w:hAnsi="Times New Roman" w:cs="Times New Roman"/>
                <w:szCs w:val="24"/>
              </w:rPr>
              <w:t xml:space="preserve"> and </w:t>
            </w:r>
            <w:r w:rsidR="00CB702D" w:rsidRPr="00600AFD">
              <w:rPr>
                <w:rFonts w:ascii="Times New Roman" w:hAnsi="Times New Roman" w:cs="Times New Roman"/>
                <w:szCs w:val="24"/>
              </w:rPr>
              <w:t>training</w:t>
            </w:r>
            <w:r w:rsidR="00916942" w:rsidRPr="00600AFD">
              <w:rPr>
                <w:rFonts w:ascii="Times New Roman" w:hAnsi="Times New Roman" w:cs="Times New Roman"/>
                <w:szCs w:val="24"/>
              </w:rPr>
              <w:t xml:space="preserve">s </w:t>
            </w:r>
            <w:r w:rsidR="00C4382F" w:rsidRPr="00600AFD">
              <w:rPr>
                <w:rFonts w:ascii="Times New Roman" w:hAnsi="Times New Roman" w:cs="Times New Roman"/>
                <w:szCs w:val="24"/>
              </w:rPr>
              <w:t xml:space="preserve">of </w:t>
            </w:r>
            <w:r w:rsidR="00F8586D" w:rsidRPr="00600AFD">
              <w:rPr>
                <w:rFonts w:ascii="Times New Roman" w:hAnsi="Times New Roman" w:cs="Times New Roman"/>
                <w:szCs w:val="24"/>
              </w:rPr>
              <w:t>judicial and prosecutorial assistants and trainees, employees in the judiciary</w:t>
            </w:r>
            <w:r w:rsidR="00A3763E" w:rsidRPr="00600AFD">
              <w:rPr>
                <w:rFonts w:ascii="Times New Roman" w:hAnsi="Times New Roman" w:cs="Times New Roman"/>
                <w:szCs w:val="24"/>
              </w:rPr>
              <w:t>,</w:t>
            </w:r>
            <w:r w:rsidR="00F8586D" w:rsidRPr="00600AFD">
              <w:rPr>
                <w:rFonts w:ascii="Times New Roman" w:hAnsi="Times New Roman" w:cs="Times New Roman"/>
                <w:szCs w:val="24"/>
              </w:rPr>
              <w:t xml:space="preserve"> </w:t>
            </w:r>
            <w:r w:rsidR="00341C97" w:rsidRPr="00600AFD">
              <w:rPr>
                <w:rFonts w:ascii="Times New Roman" w:hAnsi="Times New Roman" w:cs="Times New Roman"/>
                <w:szCs w:val="24"/>
              </w:rPr>
              <w:t xml:space="preserve">representatives of </w:t>
            </w:r>
            <w:r w:rsidR="00916942" w:rsidRPr="00600AFD">
              <w:rPr>
                <w:rFonts w:ascii="Times New Roman" w:hAnsi="Times New Roman" w:cs="Times New Roman"/>
                <w:szCs w:val="24"/>
              </w:rPr>
              <w:t xml:space="preserve">other </w:t>
            </w:r>
            <w:r w:rsidR="00341C97" w:rsidRPr="00600AFD">
              <w:rPr>
                <w:rFonts w:ascii="Times New Roman" w:hAnsi="Times New Roman" w:cs="Times New Roman"/>
                <w:szCs w:val="24"/>
              </w:rPr>
              <w:t>judicial professions (</w:t>
            </w:r>
            <w:r w:rsidR="00916942" w:rsidRPr="00600AFD">
              <w:rPr>
                <w:rFonts w:ascii="Times New Roman" w:hAnsi="Times New Roman" w:cs="Times New Roman"/>
                <w:szCs w:val="24"/>
              </w:rPr>
              <w:t xml:space="preserve">public </w:t>
            </w:r>
            <w:r w:rsidR="00341C97" w:rsidRPr="00600AFD">
              <w:rPr>
                <w:rFonts w:ascii="Times New Roman" w:hAnsi="Times New Roman" w:cs="Times New Roman"/>
                <w:szCs w:val="24"/>
              </w:rPr>
              <w:t>notaries</w:t>
            </w:r>
            <w:r w:rsidR="00916942" w:rsidRPr="00600AFD">
              <w:rPr>
                <w:rFonts w:ascii="Times New Roman" w:hAnsi="Times New Roman" w:cs="Times New Roman"/>
                <w:szCs w:val="24"/>
              </w:rPr>
              <w:t xml:space="preserve"> and</w:t>
            </w:r>
            <w:r w:rsidR="00341C97" w:rsidRPr="00600AFD">
              <w:rPr>
                <w:rFonts w:ascii="Times New Roman" w:hAnsi="Times New Roman" w:cs="Times New Roman"/>
                <w:szCs w:val="24"/>
              </w:rPr>
              <w:t xml:space="preserve"> public </w:t>
            </w:r>
            <w:r w:rsidR="00341C97" w:rsidRPr="00600AFD">
              <w:rPr>
                <w:rFonts w:ascii="Times New Roman" w:hAnsi="Times New Roman" w:cs="Times New Roman"/>
                <w:szCs w:val="24"/>
              </w:rPr>
              <w:lastRenderedPageBreak/>
              <w:t>enforcement officers</w:t>
            </w:r>
            <w:r w:rsidR="00916942" w:rsidRPr="00600AFD">
              <w:rPr>
                <w:rFonts w:ascii="Times New Roman" w:hAnsi="Times New Roman" w:cs="Times New Roman"/>
                <w:szCs w:val="24"/>
              </w:rPr>
              <w:t>) as well as</w:t>
            </w:r>
            <w:r w:rsidR="00341C97" w:rsidRPr="00600AFD">
              <w:rPr>
                <w:rFonts w:ascii="Times New Roman" w:hAnsi="Times New Roman" w:cs="Times New Roman"/>
                <w:szCs w:val="24"/>
              </w:rPr>
              <w:t xml:space="preserve"> </w:t>
            </w:r>
            <w:r w:rsidR="00916942" w:rsidRPr="00600AFD">
              <w:rPr>
                <w:rFonts w:ascii="Times New Roman" w:hAnsi="Times New Roman" w:cs="Times New Roman"/>
                <w:szCs w:val="24"/>
              </w:rPr>
              <w:t xml:space="preserve">of </w:t>
            </w:r>
            <w:r w:rsidR="00341C97" w:rsidRPr="00600AFD">
              <w:rPr>
                <w:rFonts w:ascii="Times New Roman" w:hAnsi="Times New Roman" w:cs="Times New Roman"/>
                <w:szCs w:val="24"/>
              </w:rPr>
              <w:t>mediators</w:t>
            </w:r>
            <w:r w:rsidR="00916942" w:rsidRPr="00600AFD">
              <w:rPr>
                <w:rFonts w:ascii="Times New Roman" w:hAnsi="Times New Roman" w:cs="Times New Roman"/>
                <w:szCs w:val="24"/>
              </w:rPr>
              <w:t>, expert witnesses and court interpreters</w:t>
            </w:r>
            <w:r w:rsidR="00325178" w:rsidRPr="00600AFD">
              <w:rPr>
                <w:rFonts w:ascii="Times New Roman" w:hAnsi="Times New Roman" w:cs="Times New Roman"/>
                <w:szCs w:val="24"/>
              </w:rPr>
              <w:t xml:space="preserve"> </w:t>
            </w:r>
            <w:r w:rsidR="007D1744" w:rsidRPr="00600AFD">
              <w:rPr>
                <w:rFonts w:ascii="Times New Roman" w:hAnsi="Times New Roman" w:cs="Times New Roman"/>
                <w:szCs w:val="24"/>
              </w:rPr>
              <w:t xml:space="preserve">are implemented in a comprehensive and organized manner. </w:t>
            </w:r>
          </w:p>
          <w:p w14:paraId="2DBB4D6B" w14:textId="3673D032" w:rsidR="00916942" w:rsidRPr="00600AFD" w:rsidRDefault="00916942" w:rsidP="00E639EB">
            <w:pPr>
              <w:spacing w:line="276" w:lineRule="auto"/>
              <w:rPr>
                <w:rFonts w:ascii="Times New Roman" w:hAnsi="Times New Roman" w:cs="Times New Roman"/>
                <w:szCs w:val="24"/>
              </w:rPr>
            </w:pPr>
          </w:p>
        </w:tc>
      </w:tr>
    </w:tbl>
    <w:p w14:paraId="5E37E806" w14:textId="77777777" w:rsidR="000A4E98" w:rsidRPr="00600AFD" w:rsidRDefault="000A4E98" w:rsidP="00CF44E2">
      <w:pPr>
        <w:spacing w:after="0" w:line="276" w:lineRule="auto"/>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0A4E98" w:rsidRPr="00600AFD" w14:paraId="5526320B" w14:textId="77777777" w:rsidTr="00D708A9">
        <w:tc>
          <w:tcPr>
            <w:tcW w:w="9350" w:type="dxa"/>
            <w:tcBorders>
              <w:bottom w:val="single" w:sz="4" w:space="0" w:color="auto"/>
            </w:tcBorders>
            <w:shd w:val="clear" w:color="auto" w:fill="D9E2F3" w:themeFill="accent1" w:themeFillTint="33"/>
          </w:tcPr>
          <w:p w14:paraId="21CD1EE0" w14:textId="77777777" w:rsidR="000A4E98" w:rsidRPr="00600AFD" w:rsidRDefault="00C45655" w:rsidP="0061475C">
            <w:pPr>
              <w:spacing w:before="120" w:after="120" w:line="276" w:lineRule="auto"/>
              <w:rPr>
                <w:rFonts w:ascii="Times New Roman" w:hAnsi="Times New Roman" w:cs="Times New Roman"/>
                <w:b/>
                <w:i/>
                <w:szCs w:val="24"/>
                <w:u w:val="single"/>
              </w:rPr>
            </w:pPr>
            <w:r w:rsidRPr="00600AFD">
              <w:rPr>
                <w:rFonts w:ascii="Times New Roman" w:hAnsi="Times New Roman" w:cs="Times New Roman"/>
                <w:b/>
                <w:i/>
                <w:szCs w:val="24"/>
                <w:u w:val="single"/>
              </w:rPr>
              <w:t xml:space="preserve">Specific </w:t>
            </w:r>
            <w:r w:rsidR="00C63F64" w:rsidRPr="00600AFD">
              <w:rPr>
                <w:rFonts w:ascii="Times New Roman" w:hAnsi="Times New Roman" w:cs="Times New Roman"/>
                <w:b/>
                <w:i/>
                <w:szCs w:val="24"/>
                <w:u w:val="single"/>
              </w:rPr>
              <w:t>objective</w:t>
            </w:r>
            <w:r w:rsidR="000A4E98" w:rsidRPr="00600AFD">
              <w:rPr>
                <w:rFonts w:ascii="Times New Roman" w:hAnsi="Times New Roman" w:cs="Times New Roman"/>
                <w:b/>
                <w:i/>
                <w:szCs w:val="24"/>
                <w:u w:val="single"/>
              </w:rPr>
              <w:t xml:space="preserve"> 4</w:t>
            </w:r>
            <w:r w:rsidR="00DC6816" w:rsidRPr="00600AFD">
              <w:rPr>
                <w:rFonts w:ascii="Times New Roman" w:hAnsi="Times New Roman" w:cs="Times New Roman"/>
                <w:b/>
                <w:i/>
                <w:szCs w:val="24"/>
                <w:u w:val="single"/>
              </w:rPr>
              <w:t xml:space="preserve"> – Advancement </w:t>
            </w:r>
            <w:r w:rsidR="00861332" w:rsidRPr="00600AFD">
              <w:rPr>
                <w:rFonts w:ascii="Times New Roman" w:hAnsi="Times New Roman" w:cs="Times New Roman"/>
                <w:b/>
                <w:i/>
                <w:szCs w:val="24"/>
                <w:u w:val="single"/>
              </w:rPr>
              <w:t>of judiciary’s efficiency</w:t>
            </w:r>
          </w:p>
        </w:tc>
      </w:tr>
      <w:tr w:rsidR="000A4E98" w:rsidRPr="00600AFD" w14:paraId="737CD98A" w14:textId="77777777" w:rsidTr="00D708A9">
        <w:tc>
          <w:tcPr>
            <w:tcW w:w="9350" w:type="dxa"/>
            <w:tcBorders>
              <w:left w:val="nil"/>
              <w:bottom w:val="nil"/>
              <w:right w:val="nil"/>
            </w:tcBorders>
          </w:tcPr>
          <w:p w14:paraId="355AB274" w14:textId="143D0ADF" w:rsidR="000A4E98" w:rsidRPr="00600AFD" w:rsidRDefault="00861332" w:rsidP="00934767">
            <w:pPr>
              <w:spacing w:line="276" w:lineRule="auto"/>
              <w:rPr>
                <w:rFonts w:ascii="Times New Roman" w:hAnsi="Times New Roman" w:cs="Times New Roman"/>
                <w:szCs w:val="24"/>
              </w:rPr>
            </w:pPr>
            <w:r w:rsidRPr="00600AFD">
              <w:rPr>
                <w:rFonts w:ascii="Times New Roman" w:hAnsi="Times New Roman" w:cs="Times New Roman"/>
                <w:szCs w:val="24"/>
              </w:rPr>
              <w:t xml:space="preserve">Further advancement of </w:t>
            </w:r>
            <w:r w:rsidR="00934767" w:rsidRPr="00600AFD">
              <w:rPr>
                <w:rFonts w:ascii="Times New Roman" w:hAnsi="Times New Roman" w:cs="Times New Roman"/>
                <w:szCs w:val="24"/>
              </w:rPr>
              <w:t xml:space="preserve">efficient </w:t>
            </w:r>
            <w:r w:rsidRPr="00600AFD">
              <w:rPr>
                <w:rFonts w:ascii="Times New Roman" w:hAnsi="Times New Roman" w:cs="Times New Roman"/>
                <w:szCs w:val="24"/>
              </w:rPr>
              <w:t xml:space="preserve">mechanisms </w:t>
            </w:r>
            <w:r w:rsidR="00934767" w:rsidRPr="00600AFD">
              <w:rPr>
                <w:rFonts w:ascii="Times New Roman" w:hAnsi="Times New Roman" w:cs="Times New Roman"/>
                <w:szCs w:val="24"/>
              </w:rPr>
              <w:t xml:space="preserve">providing </w:t>
            </w:r>
            <w:r w:rsidR="00D330A8" w:rsidRPr="00600AFD">
              <w:rPr>
                <w:rFonts w:ascii="Times New Roman" w:hAnsi="Times New Roman" w:cs="Times New Roman"/>
                <w:szCs w:val="24"/>
              </w:rPr>
              <w:t>for</w:t>
            </w:r>
            <w:r w:rsidR="00F674CF" w:rsidRPr="00600AFD">
              <w:rPr>
                <w:rFonts w:ascii="Times New Roman" w:hAnsi="Times New Roman" w:cs="Times New Roman"/>
                <w:szCs w:val="24"/>
              </w:rPr>
              <w:t xml:space="preserve"> </w:t>
            </w:r>
            <w:r w:rsidR="00421FF0" w:rsidRPr="00600AFD">
              <w:rPr>
                <w:rFonts w:ascii="Times New Roman" w:hAnsi="Times New Roman" w:cs="Times New Roman"/>
                <w:szCs w:val="24"/>
              </w:rPr>
              <w:t xml:space="preserve">an effective management of the judicial system and </w:t>
            </w:r>
            <w:r w:rsidR="00934767" w:rsidRPr="00600AFD">
              <w:rPr>
                <w:rFonts w:ascii="Times New Roman" w:hAnsi="Times New Roman" w:cs="Times New Roman"/>
                <w:szCs w:val="24"/>
              </w:rPr>
              <w:t>cost</w:t>
            </w:r>
            <w:r w:rsidR="000F3999">
              <w:rPr>
                <w:rFonts w:ascii="Times New Roman" w:hAnsi="Times New Roman" w:cs="Times New Roman"/>
                <w:szCs w:val="24"/>
              </w:rPr>
              <w:t>–</w:t>
            </w:r>
            <w:r w:rsidR="00934767" w:rsidRPr="00600AFD">
              <w:rPr>
                <w:rFonts w:ascii="Times New Roman" w:hAnsi="Times New Roman" w:cs="Times New Roman"/>
                <w:szCs w:val="24"/>
              </w:rPr>
              <w:t>effective</w:t>
            </w:r>
            <w:r w:rsidR="00421FF0" w:rsidRPr="00600AFD">
              <w:rPr>
                <w:rFonts w:ascii="Times New Roman" w:hAnsi="Times New Roman" w:cs="Times New Roman"/>
                <w:szCs w:val="24"/>
              </w:rPr>
              <w:t xml:space="preserve"> utilization of resources, </w:t>
            </w:r>
            <w:r w:rsidR="00934767" w:rsidRPr="00600AFD">
              <w:rPr>
                <w:rFonts w:ascii="Times New Roman" w:hAnsi="Times New Roman" w:cs="Times New Roman"/>
                <w:szCs w:val="24"/>
              </w:rPr>
              <w:t xml:space="preserve">enabling that </w:t>
            </w:r>
            <w:r w:rsidR="00E31CEA" w:rsidRPr="00600AFD">
              <w:rPr>
                <w:rFonts w:ascii="Times New Roman" w:hAnsi="Times New Roman" w:cs="Times New Roman"/>
                <w:szCs w:val="24"/>
              </w:rPr>
              <w:t xml:space="preserve">proceedings and </w:t>
            </w:r>
            <w:r w:rsidR="00BC684B" w:rsidRPr="00600AFD">
              <w:rPr>
                <w:rFonts w:ascii="Times New Roman" w:hAnsi="Times New Roman" w:cs="Times New Roman"/>
                <w:szCs w:val="24"/>
              </w:rPr>
              <w:t xml:space="preserve">trials </w:t>
            </w:r>
            <w:r w:rsidR="00934767" w:rsidRPr="00600AFD">
              <w:rPr>
                <w:rFonts w:ascii="Times New Roman" w:hAnsi="Times New Roman" w:cs="Times New Roman"/>
                <w:szCs w:val="24"/>
              </w:rPr>
              <w:t>are conducted</w:t>
            </w:r>
            <w:r w:rsidR="007C4D3A" w:rsidRPr="00600AFD">
              <w:rPr>
                <w:rFonts w:ascii="Times New Roman" w:hAnsi="Times New Roman" w:cs="Times New Roman"/>
                <w:szCs w:val="24"/>
              </w:rPr>
              <w:t xml:space="preserve"> </w:t>
            </w:r>
            <w:r w:rsidR="00AE1683" w:rsidRPr="00600AFD">
              <w:rPr>
                <w:rFonts w:ascii="Times New Roman" w:hAnsi="Times New Roman" w:cs="Times New Roman"/>
                <w:szCs w:val="24"/>
              </w:rPr>
              <w:t xml:space="preserve">in accordance with the law and </w:t>
            </w:r>
            <w:r w:rsidR="00241BF7" w:rsidRPr="00600AFD">
              <w:rPr>
                <w:rFonts w:ascii="Times New Roman" w:hAnsi="Times New Roman" w:cs="Times New Roman"/>
                <w:szCs w:val="24"/>
              </w:rPr>
              <w:t>within</w:t>
            </w:r>
            <w:r w:rsidR="00916942" w:rsidRPr="00600AFD">
              <w:rPr>
                <w:rFonts w:ascii="Times New Roman" w:hAnsi="Times New Roman" w:cs="Times New Roman"/>
                <w:szCs w:val="24"/>
              </w:rPr>
              <w:t xml:space="preserve"> </w:t>
            </w:r>
            <w:r w:rsidR="00241BF7" w:rsidRPr="00600AFD">
              <w:rPr>
                <w:rFonts w:ascii="Times New Roman" w:hAnsi="Times New Roman" w:cs="Times New Roman"/>
                <w:szCs w:val="24"/>
              </w:rPr>
              <w:t xml:space="preserve">reasonable </w:t>
            </w:r>
            <w:r w:rsidR="00916942" w:rsidRPr="00600AFD">
              <w:rPr>
                <w:rFonts w:ascii="Times New Roman" w:hAnsi="Times New Roman" w:cs="Times New Roman"/>
                <w:szCs w:val="24"/>
              </w:rPr>
              <w:t>time</w:t>
            </w:r>
            <w:r w:rsidR="007C4D3A" w:rsidRPr="00600AFD">
              <w:rPr>
                <w:rFonts w:ascii="Times New Roman" w:hAnsi="Times New Roman" w:cs="Times New Roman"/>
                <w:szCs w:val="24"/>
              </w:rPr>
              <w:t xml:space="preserve">, respecting </w:t>
            </w:r>
            <w:r w:rsidR="00CF10F4" w:rsidRPr="00600AFD">
              <w:rPr>
                <w:rFonts w:ascii="Times New Roman" w:hAnsi="Times New Roman" w:cs="Times New Roman"/>
                <w:szCs w:val="24"/>
              </w:rPr>
              <w:t>human and minority rights and freedoms</w:t>
            </w:r>
            <w:r w:rsidR="00934767" w:rsidRPr="00600AFD">
              <w:rPr>
                <w:rFonts w:ascii="Times New Roman" w:hAnsi="Times New Roman" w:cs="Times New Roman"/>
                <w:szCs w:val="24"/>
              </w:rPr>
              <w:t xml:space="preserve"> in the process</w:t>
            </w:r>
            <w:r w:rsidR="00CF10F4" w:rsidRPr="00600AFD">
              <w:rPr>
                <w:rFonts w:ascii="Times New Roman" w:hAnsi="Times New Roman" w:cs="Times New Roman"/>
                <w:szCs w:val="24"/>
              </w:rPr>
              <w:t xml:space="preserve">, as well as </w:t>
            </w:r>
            <w:r w:rsidR="002F3DE3" w:rsidRPr="00600AFD">
              <w:rPr>
                <w:rFonts w:ascii="Times New Roman" w:hAnsi="Times New Roman" w:cs="Times New Roman"/>
                <w:szCs w:val="24"/>
              </w:rPr>
              <w:t xml:space="preserve">a reduction </w:t>
            </w:r>
            <w:r w:rsidR="00BA1F49" w:rsidRPr="00600AFD">
              <w:rPr>
                <w:rFonts w:ascii="Times New Roman" w:hAnsi="Times New Roman" w:cs="Times New Roman"/>
                <w:szCs w:val="24"/>
              </w:rPr>
              <w:t>in the overall number of pending cases</w:t>
            </w:r>
            <w:r w:rsidR="0090052F" w:rsidRPr="00600AFD">
              <w:rPr>
                <w:rFonts w:ascii="Times New Roman" w:hAnsi="Times New Roman" w:cs="Times New Roman"/>
                <w:szCs w:val="24"/>
              </w:rPr>
              <w:t>, taking also into account a reduction of the pending cases</w:t>
            </w:r>
            <w:r w:rsidR="0091732B" w:rsidRPr="00600AFD">
              <w:rPr>
                <w:rFonts w:ascii="Times New Roman" w:hAnsi="Times New Roman" w:cs="Times New Roman"/>
                <w:szCs w:val="24"/>
              </w:rPr>
              <w:t xml:space="preserve"> backlog.</w:t>
            </w:r>
          </w:p>
        </w:tc>
      </w:tr>
    </w:tbl>
    <w:p w14:paraId="17B27554" w14:textId="77777777" w:rsidR="000A4E98" w:rsidRPr="00600AFD" w:rsidRDefault="000A4E98" w:rsidP="00CF44E2">
      <w:pPr>
        <w:spacing w:after="0" w:line="276" w:lineRule="auto"/>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D708A9" w:rsidRPr="00600AFD" w14:paraId="59AECFD8" w14:textId="77777777" w:rsidTr="00D708A9">
        <w:tc>
          <w:tcPr>
            <w:tcW w:w="9350" w:type="dxa"/>
            <w:tcBorders>
              <w:bottom w:val="single" w:sz="4" w:space="0" w:color="auto"/>
            </w:tcBorders>
            <w:shd w:val="clear" w:color="auto" w:fill="D9E2F3" w:themeFill="accent1" w:themeFillTint="33"/>
          </w:tcPr>
          <w:p w14:paraId="344BC419" w14:textId="10D41B85" w:rsidR="00D708A9" w:rsidRPr="00600AFD" w:rsidRDefault="00C45655" w:rsidP="00461FD8">
            <w:pPr>
              <w:spacing w:before="120" w:after="120" w:line="276" w:lineRule="auto"/>
              <w:rPr>
                <w:rFonts w:ascii="Times New Roman" w:hAnsi="Times New Roman" w:cs="Times New Roman"/>
                <w:b/>
                <w:i/>
                <w:szCs w:val="24"/>
                <w:u w:val="single"/>
              </w:rPr>
            </w:pPr>
            <w:r w:rsidRPr="00600AFD">
              <w:rPr>
                <w:rFonts w:ascii="Times New Roman" w:hAnsi="Times New Roman" w:cs="Times New Roman"/>
                <w:b/>
                <w:i/>
                <w:szCs w:val="24"/>
                <w:u w:val="single"/>
              </w:rPr>
              <w:t xml:space="preserve">Specific </w:t>
            </w:r>
            <w:r w:rsidR="00C63F64" w:rsidRPr="00600AFD">
              <w:rPr>
                <w:rFonts w:ascii="Times New Roman" w:hAnsi="Times New Roman" w:cs="Times New Roman"/>
                <w:b/>
                <w:i/>
                <w:szCs w:val="24"/>
                <w:u w:val="single"/>
              </w:rPr>
              <w:t xml:space="preserve">objective </w:t>
            </w:r>
            <w:r w:rsidR="00D708A9" w:rsidRPr="00600AFD">
              <w:rPr>
                <w:rFonts w:ascii="Times New Roman" w:hAnsi="Times New Roman" w:cs="Times New Roman"/>
                <w:b/>
                <w:i/>
                <w:szCs w:val="24"/>
                <w:u w:val="single"/>
              </w:rPr>
              <w:t>5</w:t>
            </w:r>
            <w:r w:rsidR="000F3999">
              <w:rPr>
                <w:rFonts w:ascii="Times New Roman" w:hAnsi="Times New Roman" w:cs="Times New Roman"/>
                <w:b/>
                <w:i/>
                <w:szCs w:val="24"/>
                <w:u w:val="single"/>
              </w:rPr>
              <w:t>–</w:t>
            </w:r>
            <w:r w:rsidR="00D708A9" w:rsidRPr="00600AFD">
              <w:rPr>
                <w:rFonts w:ascii="Times New Roman" w:hAnsi="Times New Roman" w:cs="Times New Roman"/>
                <w:b/>
                <w:i/>
                <w:szCs w:val="24"/>
                <w:u w:val="single"/>
              </w:rPr>
              <w:t xml:space="preserve"> </w:t>
            </w:r>
            <w:r w:rsidR="00461FD8" w:rsidRPr="00600AFD">
              <w:rPr>
                <w:rFonts w:ascii="Times New Roman" w:hAnsi="Times New Roman" w:cs="Times New Roman"/>
                <w:b/>
                <w:i/>
                <w:szCs w:val="24"/>
                <w:u w:val="single"/>
              </w:rPr>
              <w:t>Development of e</w:t>
            </w:r>
            <w:r w:rsidR="000F3999">
              <w:rPr>
                <w:rFonts w:ascii="Times New Roman" w:hAnsi="Times New Roman" w:cs="Times New Roman"/>
                <w:b/>
                <w:i/>
                <w:szCs w:val="24"/>
                <w:u w:val="single"/>
              </w:rPr>
              <w:t>–</w:t>
            </w:r>
            <w:r w:rsidR="00461FD8" w:rsidRPr="00600AFD">
              <w:rPr>
                <w:rFonts w:ascii="Times New Roman" w:hAnsi="Times New Roman" w:cs="Times New Roman"/>
                <w:b/>
                <w:i/>
                <w:szCs w:val="24"/>
                <w:u w:val="single"/>
              </w:rPr>
              <w:t>J</w:t>
            </w:r>
            <w:r w:rsidR="00D14694" w:rsidRPr="00600AFD">
              <w:rPr>
                <w:rFonts w:ascii="Times New Roman" w:hAnsi="Times New Roman" w:cs="Times New Roman"/>
                <w:b/>
                <w:i/>
                <w:szCs w:val="24"/>
                <w:u w:val="single"/>
              </w:rPr>
              <w:t>u</w:t>
            </w:r>
            <w:r w:rsidR="00461FD8" w:rsidRPr="00600AFD">
              <w:rPr>
                <w:rFonts w:ascii="Times New Roman" w:hAnsi="Times New Roman" w:cs="Times New Roman"/>
                <w:b/>
                <w:i/>
                <w:szCs w:val="24"/>
                <w:u w:val="single"/>
              </w:rPr>
              <w:t>stice</w:t>
            </w:r>
          </w:p>
        </w:tc>
      </w:tr>
      <w:tr w:rsidR="00D708A9" w:rsidRPr="00600AFD" w14:paraId="1A2BCFE9" w14:textId="77777777" w:rsidTr="00D708A9">
        <w:tc>
          <w:tcPr>
            <w:tcW w:w="9350" w:type="dxa"/>
            <w:tcBorders>
              <w:left w:val="nil"/>
              <w:bottom w:val="nil"/>
              <w:right w:val="nil"/>
            </w:tcBorders>
          </w:tcPr>
          <w:p w14:paraId="2268665D" w14:textId="331BC796" w:rsidR="00D708A9" w:rsidRPr="00600AFD" w:rsidRDefault="00D14694" w:rsidP="0061475C">
            <w:pPr>
              <w:spacing w:line="276" w:lineRule="auto"/>
              <w:rPr>
                <w:rFonts w:ascii="Times New Roman" w:hAnsi="Times New Roman" w:cs="Times New Roman"/>
                <w:szCs w:val="24"/>
              </w:rPr>
            </w:pPr>
            <w:r w:rsidRPr="00600AFD">
              <w:rPr>
                <w:rFonts w:ascii="Times New Roman" w:hAnsi="Times New Roman" w:cs="Times New Roman"/>
                <w:szCs w:val="24"/>
              </w:rPr>
              <w:t>Further advancement of e</w:t>
            </w:r>
            <w:r w:rsidR="000F3999">
              <w:rPr>
                <w:rFonts w:ascii="Times New Roman" w:hAnsi="Times New Roman" w:cs="Times New Roman"/>
                <w:szCs w:val="24"/>
              </w:rPr>
              <w:t>–</w:t>
            </w:r>
            <w:r w:rsidRPr="00600AFD">
              <w:rPr>
                <w:rFonts w:ascii="Times New Roman" w:hAnsi="Times New Roman" w:cs="Times New Roman"/>
                <w:szCs w:val="24"/>
              </w:rPr>
              <w:t xml:space="preserve">services </w:t>
            </w:r>
            <w:r w:rsidR="00AD42AD" w:rsidRPr="00600AFD">
              <w:rPr>
                <w:rFonts w:ascii="Times New Roman" w:hAnsi="Times New Roman" w:cs="Times New Roman"/>
                <w:szCs w:val="24"/>
              </w:rPr>
              <w:t xml:space="preserve">within the judiciary </w:t>
            </w:r>
            <w:r w:rsidR="0032393A" w:rsidRPr="00600AFD">
              <w:rPr>
                <w:rFonts w:ascii="Times New Roman" w:hAnsi="Times New Roman" w:cs="Times New Roman"/>
                <w:szCs w:val="24"/>
              </w:rPr>
              <w:t xml:space="preserve">ensuring </w:t>
            </w:r>
            <w:r w:rsidR="00AD42AD" w:rsidRPr="00600AFD">
              <w:rPr>
                <w:rFonts w:ascii="Times New Roman" w:hAnsi="Times New Roman" w:cs="Times New Roman"/>
                <w:szCs w:val="24"/>
              </w:rPr>
              <w:t>access to justice</w:t>
            </w:r>
            <w:r w:rsidR="0032393A" w:rsidRPr="00600AFD">
              <w:rPr>
                <w:rFonts w:ascii="Times New Roman" w:hAnsi="Times New Roman" w:cs="Times New Roman"/>
                <w:szCs w:val="24"/>
              </w:rPr>
              <w:t xml:space="preserve">, increase in </w:t>
            </w:r>
            <w:r w:rsidR="00EF7370" w:rsidRPr="00600AFD">
              <w:rPr>
                <w:rFonts w:ascii="Times New Roman" w:hAnsi="Times New Roman" w:cs="Times New Roman"/>
                <w:szCs w:val="24"/>
              </w:rPr>
              <w:t xml:space="preserve">the </w:t>
            </w:r>
            <w:r w:rsidR="0032393A" w:rsidRPr="00600AFD">
              <w:rPr>
                <w:rFonts w:ascii="Times New Roman" w:hAnsi="Times New Roman" w:cs="Times New Roman"/>
                <w:szCs w:val="24"/>
              </w:rPr>
              <w:t xml:space="preserve">quality of </w:t>
            </w:r>
            <w:r w:rsidR="00EF7370" w:rsidRPr="00600AFD">
              <w:rPr>
                <w:rFonts w:ascii="Times New Roman" w:hAnsi="Times New Roman" w:cs="Times New Roman"/>
                <w:szCs w:val="24"/>
              </w:rPr>
              <w:t>proceedings and decision</w:t>
            </w:r>
            <w:r w:rsidR="000F3999">
              <w:rPr>
                <w:rFonts w:ascii="Times New Roman" w:hAnsi="Times New Roman" w:cs="Times New Roman"/>
                <w:szCs w:val="24"/>
              </w:rPr>
              <w:t>–</w:t>
            </w:r>
            <w:r w:rsidR="00EF7370" w:rsidRPr="00600AFD">
              <w:rPr>
                <w:rFonts w:ascii="Times New Roman" w:hAnsi="Times New Roman" w:cs="Times New Roman"/>
                <w:szCs w:val="24"/>
              </w:rPr>
              <w:t xml:space="preserve">making, efficient case management, statistical monitoring and reporting on </w:t>
            </w:r>
            <w:r w:rsidR="00DC6816" w:rsidRPr="00600AFD">
              <w:rPr>
                <w:rFonts w:ascii="Times New Roman" w:hAnsi="Times New Roman" w:cs="Times New Roman"/>
                <w:szCs w:val="24"/>
              </w:rPr>
              <w:t xml:space="preserve">the work of judiciary, and transparency of the work of judicial </w:t>
            </w:r>
            <w:r w:rsidR="00CB642E" w:rsidRPr="00600AFD">
              <w:rPr>
                <w:rFonts w:ascii="Times New Roman" w:hAnsi="Times New Roman" w:cs="Times New Roman"/>
                <w:szCs w:val="24"/>
              </w:rPr>
              <w:t>bodies</w:t>
            </w:r>
            <w:r w:rsidR="00DC6816" w:rsidRPr="00600AFD">
              <w:rPr>
                <w:rFonts w:ascii="Times New Roman" w:hAnsi="Times New Roman" w:cs="Times New Roman"/>
                <w:szCs w:val="24"/>
              </w:rPr>
              <w:t xml:space="preserve">. </w:t>
            </w:r>
          </w:p>
        </w:tc>
      </w:tr>
    </w:tbl>
    <w:p w14:paraId="1DD3D41F" w14:textId="77777777" w:rsidR="00CB5316" w:rsidRPr="00600AFD" w:rsidRDefault="00CB5316" w:rsidP="00CF44E2">
      <w:pPr>
        <w:spacing w:after="120" w:line="276" w:lineRule="auto"/>
        <w:rPr>
          <w:rFonts w:ascii="Times New Roman" w:hAnsi="Times New Roman" w:cs="Times New Roman"/>
          <w:szCs w:val="24"/>
        </w:rPr>
      </w:pPr>
    </w:p>
    <w:tbl>
      <w:tblPr>
        <w:tblStyle w:val="TableGrid"/>
        <w:tblW w:w="0" w:type="auto"/>
        <w:tblLook w:val="04A0" w:firstRow="1" w:lastRow="0" w:firstColumn="1" w:lastColumn="0" w:noHBand="0" w:noVBand="1"/>
      </w:tblPr>
      <w:tblGrid>
        <w:gridCol w:w="9350"/>
      </w:tblGrid>
      <w:tr w:rsidR="00D708A9" w:rsidRPr="00600AFD" w14:paraId="7EA92CD6" w14:textId="77777777" w:rsidTr="00D708A9">
        <w:tc>
          <w:tcPr>
            <w:tcW w:w="9350" w:type="dxa"/>
            <w:tcBorders>
              <w:bottom w:val="single" w:sz="4" w:space="0" w:color="auto"/>
            </w:tcBorders>
            <w:shd w:val="clear" w:color="auto" w:fill="D9E2F3" w:themeFill="accent1" w:themeFillTint="33"/>
          </w:tcPr>
          <w:p w14:paraId="627D5EC2" w14:textId="77777777" w:rsidR="00D708A9" w:rsidRPr="00600AFD" w:rsidRDefault="00C45655" w:rsidP="00D708A9">
            <w:pPr>
              <w:spacing w:before="120" w:after="120" w:line="276" w:lineRule="auto"/>
              <w:rPr>
                <w:rFonts w:ascii="Times New Roman" w:hAnsi="Times New Roman" w:cs="Times New Roman"/>
                <w:b/>
                <w:i/>
                <w:szCs w:val="24"/>
              </w:rPr>
            </w:pPr>
            <w:r w:rsidRPr="00600AFD">
              <w:rPr>
                <w:rFonts w:ascii="Times New Roman" w:hAnsi="Times New Roman" w:cs="Times New Roman"/>
                <w:b/>
                <w:i/>
                <w:szCs w:val="24"/>
                <w:u w:val="single"/>
              </w:rPr>
              <w:t xml:space="preserve">Specific </w:t>
            </w:r>
            <w:r w:rsidR="00C63F64" w:rsidRPr="00600AFD">
              <w:rPr>
                <w:rFonts w:ascii="Times New Roman" w:hAnsi="Times New Roman" w:cs="Times New Roman"/>
                <w:b/>
                <w:i/>
                <w:szCs w:val="24"/>
                <w:u w:val="single"/>
              </w:rPr>
              <w:t xml:space="preserve">objective </w:t>
            </w:r>
            <w:r w:rsidR="00D708A9" w:rsidRPr="00600AFD">
              <w:rPr>
                <w:rFonts w:ascii="Times New Roman" w:hAnsi="Times New Roman" w:cs="Times New Roman"/>
                <w:b/>
                <w:i/>
                <w:szCs w:val="24"/>
                <w:u w:val="single"/>
              </w:rPr>
              <w:t>6</w:t>
            </w:r>
            <w:r w:rsidR="003A19E1" w:rsidRPr="00600AFD">
              <w:rPr>
                <w:rFonts w:ascii="Times New Roman" w:hAnsi="Times New Roman" w:cs="Times New Roman"/>
                <w:b/>
                <w:i/>
                <w:szCs w:val="24"/>
                <w:u w:val="single"/>
              </w:rPr>
              <w:t xml:space="preserve"> </w:t>
            </w:r>
            <w:r w:rsidR="00773B45" w:rsidRPr="00600AFD">
              <w:rPr>
                <w:rFonts w:ascii="Times New Roman" w:hAnsi="Times New Roman" w:cs="Times New Roman"/>
                <w:b/>
                <w:i/>
                <w:szCs w:val="24"/>
                <w:u w:val="single"/>
              </w:rPr>
              <w:t>–</w:t>
            </w:r>
            <w:r w:rsidR="00D708A9" w:rsidRPr="00600AFD">
              <w:rPr>
                <w:rFonts w:ascii="Times New Roman" w:hAnsi="Times New Roman" w:cs="Times New Roman"/>
                <w:b/>
                <w:i/>
                <w:szCs w:val="24"/>
                <w:u w:val="single"/>
              </w:rPr>
              <w:t xml:space="preserve"> </w:t>
            </w:r>
            <w:r w:rsidR="00773B45" w:rsidRPr="00600AFD">
              <w:rPr>
                <w:rFonts w:ascii="Times New Roman" w:hAnsi="Times New Roman" w:cs="Times New Roman"/>
                <w:b/>
                <w:i/>
                <w:szCs w:val="24"/>
                <w:u w:val="single"/>
              </w:rPr>
              <w:t xml:space="preserve">Advancement of </w:t>
            </w:r>
            <w:r w:rsidR="00512A7A" w:rsidRPr="00600AFD">
              <w:rPr>
                <w:rFonts w:ascii="Times New Roman" w:hAnsi="Times New Roman" w:cs="Times New Roman"/>
                <w:b/>
                <w:i/>
                <w:szCs w:val="24"/>
                <w:u w:val="single"/>
              </w:rPr>
              <w:t>transparency and accessibility of judiciary</w:t>
            </w:r>
          </w:p>
        </w:tc>
      </w:tr>
      <w:tr w:rsidR="00D708A9" w:rsidRPr="00600AFD" w14:paraId="57E728C4" w14:textId="77777777" w:rsidTr="00D708A9">
        <w:tc>
          <w:tcPr>
            <w:tcW w:w="9350" w:type="dxa"/>
            <w:tcBorders>
              <w:left w:val="nil"/>
              <w:bottom w:val="nil"/>
              <w:right w:val="nil"/>
            </w:tcBorders>
          </w:tcPr>
          <w:p w14:paraId="6EBA37CD" w14:textId="77777777" w:rsidR="00D708A9" w:rsidRDefault="00512A7A" w:rsidP="0061475C">
            <w:pPr>
              <w:spacing w:line="276" w:lineRule="auto"/>
              <w:rPr>
                <w:rFonts w:ascii="Times New Roman" w:hAnsi="Times New Roman" w:cs="Times New Roman"/>
                <w:szCs w:val="24"/>
              </w:rPr>
            </w:pPr>
            <w:r w:rsidRPr="00600AFD">
              <w:rPr>
                <w:rFonts w:ascii="Times New Roman" w:hAnsi="Times New Roman" w:cs="Times New Roman"/>
                <w:szCs w:val="24"/>
              </w:rPr>
              <w:t xml:space="preserve">Further </w:t>
            </w:r>
            <w:r w:rsidR="00100C51" w:rsidRPr="00600AFD">
              <w:rPr>
                <w:rFonts w:ascii="Times New Roman" w:hAnsi="Times New Roman" w:cs="Times New Roman"/>
                <w:szCs w:val="24"/>
              </w:rPr>
              <w:t xml:space="preserve">advancement of accessibility of judicial institutions, qualitative and quantitative data on </w:t>
            </w:r>
            <w:r w:rsidR="006B307D" w:rsidRPr="00600AFD">
              <w:rPr>
                <w:rFonts w:ascii="Times New Roman" w:hAnsi="Times New Roman" w:cs="Times New Roman"/>
                <w:szCs w:val="24"/>
              </w:rPr>
              <w:t>their day</w:t>
            </w:r>
            <w:r w:rsidR="000F3999">
              <w:rPr>
                <w:rFonts w:ascii="Times New Roman" w:hAnsi="Times New Roman" w:cs="Times New Roman"/>
                <w:szCs w:val="24"/>
              </w:rPr>
              <w:t>–</w:t>
            </w:r>
            <w:r w:rsidR="006B307D" w:rsidRPr="00600AFD">
              <w:rPr>
                <w:rFonts w:ascii="Times New Roman" w:hAnsi="Times New Roman" w:cs="Times New Roman"/>
                <w:szCs w:val="24"/>
              </w:rPr>
              <w:t>to</w:t>
            </w:r>
            <w:r w:rsidR="000F3999">
              <w:rPr>
                <w:rFonts w:ascii="Times New Roman" w:hAnsi="Times New Roman" w:cs="Times New Roman"/>
                <w:szCs w:val="24"/>
              </w:rPr>
              <w:t>–</w:t>
            </w:r>
            <w:r w:rsidR="006B307D" w:rsidRPr="00600AFD">
              <w:rPr>
                <w:rFonts w:ascii="Times New Roman" w:hAnsi="Times New Roman" w:cs="Times New Roman"/>
                <w:szCs w:val="24"/>
              </w:rPr>
              <w:t xml:space="preserve">day work, which also entails accessibility of information on planning and implementation of the judicial </w:t>
            </w:r>
            <w:r w:rsidR="00D14694" w:rsidRPr="00600AFD">
              <w:rPr>
                <w:rFonts w:ascii="Times New Roman" w:hAnsi="Times New Roman" w:cs="Times New Roman"/>
                <w:szCs w:val="24"/>
              </w:rPr>
              <w:t xml:space="preserve">system’s </w:t>
            </w:r>
            <w:r w:rsidR="006B307D" w:rsidRPr="00600AFD">
              <w:rPr>
                <w:rFonts w:ascii="Times New Roman" w:hAnsi="Times New Roman" w:cs="Times New Roman"/>
                <w:szCs w:val="24"/>
              </w:rPr>
              <w:t>reform</w:t>
            </w:r>
            <w:r w:rsidR="00D14694" w:rsidRPr="00600AFD">
              <w:rPr>
                <w:rFonts w:ascii="Times New Roman" w:hAnsi="Times New Roman" w:cs="Times New Roman"/>
                <w:szCs w:val="24"/>
              </w:rPr>
              <w:t xml:space="preserve">. </w:t>
            </w:r>
          </w:p>
          <w:p w14:paraId="3B2A1151" w14:textId="23E3A193" w:rsidR="00147D6A" w:rsidRPr="00600AFD" w:rsidRDefault="00147D6A" w:rsidP="0061475C">
            <w:pPr>
              <w:spacing w:line="276" w:lineRule="auto"/>
              <w:rPr>
                <w:rFonts w:ascii="Times New Roman" w:hAnsi="Times New Roman" w:cs="Times New Roman"/>
                <w:szCs w:val="24"/>
              </w:rPr>
            </w:pPr>
          </w:p>
        </w:tc>
      </w:tr>
    </w:tbl>
    <w:p w14:paraId="5A13C6F6" w14:textId="77777777" w:rsidR="00CF2D59" w:rsidRPr="00600AFD" w:rsidRDefault="00CF2D59" w:rsidP="00BE127E">
      <w:pPr>
        <w:spacing w:line="276" w:lineRule="auto"/>
        <w:rPr>
          <w:rFonts w:ascii="Times New Roman" w:hAnsi="Times New Roman" w:cs="Times New Roman"/>
          <w:szCs w:val="24"/>
        </w:rPr>
        <w:sectPr w:rsidR="00CF2D59" w:rsidRPr="00600AFD" w:rsidSect="008A5366">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p>
    <w:p w14:paraId="5E3A695C" w14:textId="0A85B2E8" w:rsidR="00916942" w:rsidRPr="00600AFD" w:rsidRDefault="00916942" w:rsidP="00F40D25">
      <w:pPr>
        <w:pStyle w:val="Heading1"/>
        <w:numPr>
          <w:ilvl w:val="0"/>
          <w:numId w:val="29"/>
        </w:numPr>
        <w:rPr>
          <w:rFonts w:ascii="Times New Roman" w:hAnsi="Times New Roman"/>
          <w:sz w:val="24"/>
        </w:rPr>
      </w:pPr>
      <w:bookmarkStart w:id="5" w:name="_Toc39707748"/>
      <w:r w:rsidRPr="00600AFD">
        <w:rPr>
          <w:rFonts w:ascii="Times New Roman" w:hAnsi="Times New Roman"/>
          <w:sz w:val="24"/>
        </w:rPr>
        <w:lastRenderedPageBreak/>
        <w:t>MEASURES FOR ACHIEVING THE OBJECTIVES AND ANALYSES OF THEIR EFFECTS</w:t>
      </w:r>
      <w:bookmarkEnd w:id="5"/>
    </w:p>
    <w:p w14:paraId="43C4AA74" w14:textId="5D441823" w:rsidR="0038313B" w:rsidRPr="00600AFD" w:rsidRDefault="00916942" w:rsidP="000541C2">
      <w:pPr>
        <w:pStyle w:val="Heading1"/>
        <w:numPr>
          <w:ilvl w:val="1"/>
          <w:numId w:val="5"/>
        </w:numPr>
        <w:rPr>
          <w:rFonts w:ascii="Times New Roman" w:hAnsi="Times New Roman"/>
          <w:b/>
          <w:bCs w:val="0"/>
          <w:sz w:val="24"/>
        </w:rPr>
      </w:pPr>
      <w:bookmarkStart w:id="6" w:name="_Toc39707749"/>
      <w:r w:rsidRPr="00600AFD">
        <w:rPr>
          <w:rFonts w:ascii="Times New Roman" w:hAnsi="Times New Roman"/>
          <w:b/>
          <w:bCs w:val="0"/>
          <w:sz w:val="24"/>
        </w:rPr>
        <w:t>Independence and autonomy of judiciary</w:t>
      </w:r>
      <w:bookmarkEnd w:id="6"/>
    </w:p>
    <w:p w14:paraId="6ACBEADF" w14:textId="16A569B4" w:rsidR="00525624" w:rsidRPr="00600AFD" w:rsidRDefault="00182228" w:rsidP="00182228">
      <w:pPr>
        <w:spacing w:before="240" w:line="276" w:lineRule="auto"/>
        <w:rPr>
          <w:rFonts w:ascii="Times New Roman" w:hAnsi="Times New Roman" w:cs="Times New Roman"/>
          <w:szCs w:val="24"/>
        </w:rPr>
      </w:pPr>
      <w:r w:rsidRPr="00600AFD">
        <w:rPr>
          <w:rFonts w:ascii="Times New Roman" w:hAnsi="Times New Roman" w:cs="Times New Roman"/>
          <w:szCs w:val="24"/>
        </w:rPr>
        <w:t>The independence of the judiciary has both an objective component, as an indispensable</w:t>
      </w:r>
      <w:r w:rsidR="00F63E50" w:rsidRPr="00600AFD">
        <w:rPr>
          <w:rFonts w:ascii="Times New Roman" w:hAnsi="Times New Roman" w:cs="Times New Roman"/>
          <w:szCs w:val="24"/>
        </w:rPr>
        <w:t xml:space="preserve"> </w:t>
      </w:r>
      <w:r w:rsidRPr="00600AFD">
        <w:rPr>
          <w:rFonts w:ascii="Times New Roman" w:hAnsi="Times New Roman" w:cs="Times New Roman"/>
          <w:szCs w:val="24"/>
        </w:rPr>
        <w:t xml:space="preserve">quality of the </w:t>
      </w:r>
      <w:r w:rsidR="00F63E50" w:rsidRPr="00600AFD">
        <w:rPr>
          <w:rFonts w:ascii="Times New Roman" w:hAnsi="Times New Roman" w:cs="Times New Roman"/>
          <w:szCs w:val="24"/>
        </w:rPr>
        <w:t>j</w:t>
      </w:r>
      <w:r w:rsidRPr="00600AFD">
        <w:rPr>
          <w:rFonts w:ascii="Times New Roman" w:hAnsi="Times New Roman" w:cs="Times New Roman"/>
          <w:szCs w:val="24"/>
        </w:rPr>
        <w:t>udiciary as such, and a subjective component as the right of an individual to</w:t>
      </w:r>
      <w:r w:rsidR="00F63E50" w:rsidRPr="00600AFD">
        <w:rPr>
          <w:rFonts w:ascii="Times New Roman" w:hAnsi="Times New Roman" w:cs="Times New Roman"/>
          <w:szCs w:val="24"/>
        </w:rPr>
        <w:t xml:space="preserve"> </w:t>
      </w:r>
      <w:r w:rsidRPr="00600AFD">
        <w:rPr>
          <w:rFonts w:ascii="Times New Roman" w:hAnsi="Times New Roman" w:cs="Times New Roman"/>
          <w:szCs w:val="24"/>
        </w:rPr>
        <w:t>have his/her rights and freedoms determined by an independent judge</w:t>
      </w:r>
      <w:r w:rsidR="007A0C1D" w:rsidRPr="00600AFD">
        <w:rPr>
          <w:rFonts w:ascii="Times New Roman" w:hAnsi="Times New Roman" w:cs="Times New Roman"/>
          <w:szCs w:val="24"/>
        </w:rPr>
        <w:t>.</w:t>
      </w:r>
      <w:r w:rsidR="007A0C1D" w:rsidRPr="00600AFD">
        <w:rPr>
          <w:rStyle w:val="FootnoteReference"/>
          <w:rFonts w:ascii="Times New Roman" w:hAnsi="Times New Roman" w:cs="Times New Roman"/>
          <w:szCs w:val="24"/>
        </w:rPr>
        <w:footnoteReference w:id="15"/>
      </w:r>
      <w:r w:rsidR="009B657F" w:rsidRPr="00600AFD">
        <w:rPr>
          <w:rFonts w:ascii="Times New Roman" w:hAnsi="Times New Roman" w:cs="Times New Roman"/>
          <w:szCs w:val="24"/>
        </w:rPr>
        <w:t xml:space="preserve"> Without independent judges there can be no correct and lawful implementation of rights and freedoms.</w:t>
      </w:r>
      <w:r w:rsidR="007A0C1D" w:rsidRPr="00600AFD">
        <w:rPr>
          <w:rFonts w:ascii="Times New Roman" w:hAnsi="Times New Roman" w:cs="Times New Roman"/>
          <w:szCs w:val="24"/>
        </w:rPr>
        <w:t xml:space="preserve"> </w:t>
      </w:r>
      <w:r w:rsidR="003E6D67" w:rsidRPr="00600AFD">
        <w:rPr>
          <w:rFonts w:ascii="Times New Roman" w:hAnsi="Times New Roman" w:cs="Times New Roman"/>
          <w:szCs w:val="24"/>
        </w:rPr>
        <w:t xml:space="preserve">The Recommendation of the Committee of Ministers of the Council of Europe </w:t>
      </w:r>
      <w:r w:rsidR="005318C6" w:rsidRPr="00600AFD">
        <w:rPr>
          <w:rFonts w:ascii="Times New Roman" w:hAnsi="Times New Roman" w:cs="Times New Roman"/>
          <w:szCs w:val="24"/>
        </w:rPr>
        <w:t>(2010)12</w:t>
      </w:r>
      <w:r w:rsidR="00BE172F" w:rsidRPr="00600AFD">
        <w:rPr>
          <w:rFonts w:ascii="Times New Roman" w:hAnsi="Times New Roman" w:cs="Times New Roman"/>
          <w:szCs w:val="24"/>
        </w:rPr>
        <w:t xml:space="preserve"> </w:t>
      </w:r>
      <w:r w:rsidR="003E6D67" w:rsidRPr="00600AFD">
        <w:rPr>
          <w:rFonts w:ascii="Times New Roman" w:hAnsi="Times New Roman" w:cs="Times New Roman"/>
          <w:szCs w:val="24"/>
        </w:rPr>
        <w:t xml:space="preserve">on independence, efficiency and </w:t>
      </w:r>
      <w:r w:rsidR="00756B6B" w:rsidRPr="00600AFD">
        <w:rPr>
          <w:rFonts w:ascii="Times New Roman" w:hAnsi="Times New Roman" w:cs="Times New Roman"/>
          <w:szCs w:val="24"/>
        </w:rPr>
        <w:t>responsibilities of judges</w:t>
      </w:r>
      <w:r w:rsidR="00423138" w:rsidRPr="00600AFD">
        <w:rPr>
          <w:rStyle w:val="FootnoteReference"/>
          <w:rFonts w:ascii="Times New Roman" w:hAnsi="Times New Roman" w:cs="Times New Roman"/>
          <w:szCs w:val="24"/>
        </w:rPr>
        <w:footnoteReference w:id="16"/>
      </w:r>
      <w:r w:rsidR="005318C6" w:rsidRPr="00600AFD">
        <w:rPr>
          <w:rFonts w:ascii="Times New Roman" w:hAnsi="Times New Roman" w:cs="Times New Roman"/>
          <w:szCs w:val="24"/>
        </w:rPr>
        <w:t xml:space="preserve">, </w:t>
      </w:r>
      <w:r w:rsidR="00756B6B" w:rsidRPr="00600AFD">
        <w:rPr>
          <w:rFonts w:ascii="Times New Roman" w:hAnsi="Times New Roman" w:cs="Times New Roman"/>
          <w:szCs w:val="24"/>
        </w:rPr>
        <w:t>paras</w:t>
      </w:r>
      <w:r w:rsidR="005318C6" w:rsidRPr="00600AFD">
        <w:rPr>
          <w:rFonts w:ascii="Times New Roman" w:hAnsi="Times New Roman" w:cs="Times New Roman"/>
          <w:szCs w:val="24"/>
        </w:rPr>
        <w:t xml:space="preserve">. </w:t>
      </w:r>
      <w:r w:rsidR="002F0D0A" w:rsidRPr="00600AFD">
        <w:rPr>
          <w:rFonts w:ascii="Times New Roman" w:hAnsi="Times New Roman" w:cs="Times New Roman"/>
          <w:szCs w:val="24"/>
        </w:rPr>
        <w:t>3</w:t>
      </w:r>
      <w:r w:rsidR="000F3999">
        <w:rPr>
          <w:rFonts w:ascii="Times New Roman" w:hAnsi="Times New Roman" w:cs="Times New Roman"/>
          <w:szCs w:val="24"/>
        </w:rPr>
        <w:t>–</w:t>
      </w:r>
      <w:r w:rsidR="002F0D0A" w:rsidRPr="00600AFD">
        <w:rPr>
          <w:rFonts w:ascii="Times New Roman" w:hAnsi="Times New Roman" w:cs="Times New Roman"/>
          <w:szCs w:val="24"/>
        </w:rPr>
        <w:t>6</w:t>
      </w:r>
      <w:r w:rsidR="005318C6" w:rsidRPr="00600AFD">
        <w:rPr>
          <w:rFonts w:ascii="Times New Roman" w:hAnsi="Times New Roman" w:cs="Times New Roman"/>
          <w:szCs w:val="24"/>
        </w:rPr>
        <w:t xml:space="preserve">, </w:t>
      </w:r>
      <w:r w:rsidR="008E158C" w:rsidRPr="00600AFD">
        <w:rPr>
          <w:rFonts w:ascii="Times New Roman" w:hAnsi="Times New Roman" w:cs="Times New Roman"/>
          <w:szCs w:val="24"/>
        </w:rPr>
        <w:t xml:space="preserve">considers </w:t>
      </w:r>
      <w:r w:rsidR="001954CE" w:rsidRPr="00600AFD">
        <w:rPr>
          <w:rFonts w:ascii="Times New Roman" w:hAnsi="Times New Roman" w:cs="Times New Roman"/>
          <w:szCs w:val="24"/>
        </w:rPr>
        <w:t xml:space="preserve">the independence of judiciary </w:t>
      </w:r>
      <w:r w:rsidR="00AD1619" w:rsidRPr="00600AFD">
        <w:rPr>
          <w:rFonts w:ascii="Times New Roman" w:hAnsi="Times New Roman" w:cs="Times New Roman"/>
          <w:szCs w:val="24"/>
        </w:rPr>
        <w:t xml:space="preserve">as </w:t>
      </w:r>
      <w:r w:rsidR="009A6112" w:rsidRPr="00600AFD">
        <w:rPr>
          <w:rFonts w:ascii="Times New Roman" w:hAnsi="Times New Roman" w:cs="Times New Roman"/>
          <w:szCs w:val="24"/>
        </w:rPr>
        <w:t xml:space="preserve">a key principle of the rule of law </w:t>
      </w:r>
      <w:r w:rsidR="00C12577" w:rsidRPr="00600AFD">
        <w:rPr>
          <w:rFonts w:ascii="Times New Roman" w:hAnsi="Times New Roman" w:cs="Times New Roman"/>
          <w:szCs w:val="24"/>
        </w:rPr>
        <w:t xml:space="preserve">and establishes </w:t>
      </w:r>
      <w:r w:rsidR="00EB6C3E" w:rsidRPr="00600AFD">
        <w:rPr>
          <w:rFonts w:ascii="Times New Roman" w:hAnsi="Times New Roman" w:cs="Times New Roman"/>
          <w:szCs w:val="24"/>
        </w:rPr>
        <w:t xml:space="preserve">a correlation </w:t>
      </w:r>
      <w:r w:rsidR="006F5821" w:rsidRPr="00600AFD">
        <w:rPr>
          <w:rFonts w:ascii="Times New Roman" w:hAnsi="Times New Roman" w:cs="Times New Roman"/>
          <w:szCs w:val="24"/>
        </w:rPr>
        <w:t xml:space="preserve">between the independence of judiciary and the </w:t>
      </w:r>
      <w:r w:rsidR="00350E11" w:rsidRPr="00600AFD">
        <w:rPr>
          <w:rFonts w:ascii="Times New Roman" w:hAnsi="Times New Roman" w:cs="Times New Roman"/>
          <w:szCs w:val="24"/>
        </w:rPr>
        <w:t xml:space="preserve">guarantees </w:t>
      </w:r>
      <w:r w:rsidR="00F153BD" w:rsidRPr="00600AFD">
        <w:rPr>
          <w:rFonts w:ascii="Times New Roman" w:hAnsi="Times New Roman" w:cs="Times New Roman"/>
          <w:szCs w:val="24"/>
        </w:rPr>
        <w:t>contained in the provision of A</w:t>
      </w:r>
      <w:r w:rsidR="00521C82" w:rsidRPr="00600AFD">
        <w:rPr>
          <w:rFonts w:ascii="Times New Roman" w:hAnsi="Times New Roman" w:cs="Times New Roman"/>
          <w:szCs w:val="24"/>
        </w:rPr>
        <w:t xml:space="preserve">rticle 6 of the European Convention </w:t>
      </w:r>
      <w:r w:rsidR="005C6C08" w:rsidRPr="00600AFD">
        <w:rPr>
          <w:rFonts w:ascii="Times New Roman" w:hAnsi="Times New Roman" w:cs="Times New Roman"/>
          <w:szCs w:val="24"/>
        </w:rPr>
        <w:t>under which the purpose of independenc</w:t>
      </w:r>
      <w:r w:rsidR="00F35730" w:rsidRPr="00600AFD">
        <w:rPr>
          <w:rFonts w:ascii="Times New Roman" w:hAnsi="Times New Roman" w:cs="Times New Roman"/>
          <w:szCs w:val="24"/>
        </w:rPr>
        <w:t xml:space="preserve">e is to guarantee every person the fundamental right to have their case decided in a fair trial, on legal grounds only and without </w:t>
      </w:r>
      <w:r w:rsidR="00E637CB" w:rsidRPr="00600AFD">
        <w:rPr>
          <w:rFonts w:ascii="Times New Roman" w:hAnsi="Times New Roman" w:cs="Times New Roman"/>
          <w:szCs w:val="24"/>
        </w:rPr>
        <w:t>any improper influence.</w:t>
      </w:r>
      <w:r w:rsidR="000A222E" w:rsidRPr="00600AFD">
        <w:rPr>
          <w:rFonts w:ascii="Times New Roman" w:hAnsi="Times New Roman" w:cs="Times New Roman"/>
          <w:szCs w:val="24"/>
        </w:rPr>
        <w:t xml:space="preserve"> </w:t>
      </w:r>
      <w:r w:rsidR="00AE3B2B" w:rsidRPr="00600AFD">
        <w:rPr>
          <w:rFonts w:ascii="Times New Roman" w:hAnsi="Times New Roman" w:cs="Times New Roman"/>
          <w:szCs w:val="24"/>
        </w:rPr>
        <w:t xml:space="preserve">This very provision </w:t>
      </w:r>
      <w:r w:rsidR="00487508" w:rsidRPr="00600AFD">
        <w:rPr>
          <w:rFonts w:ascii="Times New Roman" w:hAnsi="Times New Roman" w:cs="Times New Roman"/>
          <w:szCs w:val="24"/>
        </w:rPr>
        <w:t xml:space="preserve">features a key correlation between the independence of judiciary and </w:t>
      </w:r>
      <w:r w:rsidR="00257ACC" w:rsidRPr="00600AFD">
        <w:rPr>
          <w:rFonts w:ascii="Times New Roman" w:hAnsi="Times New Roman" w:cs="Times New Roman"/>
          <w:szCs w:val="24"/>
        </w:rPr>
        <w:t xml:space="preserve">the guarantee of a fair trial. </w:t>
      </w:r>
      <w:r w:rsidR="005C2E19" w:rsidRPr="00600AFD">
        <w:rPr>
          <w:rFonts w:ascii="Times New Roman" w:hAnsi="Times New Roman" w:cs="Times New Roman"/>
          <w:szCs w:val="24"/>
        </w:rPr>
        <w:t xml:space="preserve">The </w:t>
      </w:r>
      <w:r w:rsidR="002C1BCD" w:rsidRPr="00600AFD">
        <w:rPr>
          <w:rFonts w:ascii="Times New Roman" w:hAnsi="Times New Roman" w:cs="Times New Roman"/>
          <w:szCs w:val="24"/>
        </w:rPr>
        <w:t xml:space="preserve">UN </w:t>
      </w:r>
      <w:r w:rsidR="005C2E19" w:rsidRPr="00600AFD">
        <w:rPr>
          <w:rFonts w:ascii="Times New Roman" w:hAnsi="Times New Roman" w:cs="Times New Roman"/>
          <w:szCs w:val="24"/>
        </w:rPr>
        <w:t xml:space="preserve">Universal Declaration </w:t>
      </w:r>
      <w:r w:rsidR="002C1BCD" w:rsidRPr="00600AFD">
        <w:rPr>
          <w:rFonts w:ascii="Times New Roman" w:hAnsi="Times New Roman" w:cs="Times New Roman"/>
          <w:szCs w:val="24"/>
        </w:rPr>
        <w:t xml:space="preserve">of Human Rights stipulates in article 10 that </w:t>
      </w:r>
      <w:r w:rsidR="001C4319" w:rsidRPr="00600AFD">
        <w:rPr>
          <w:rFonts w:ascii="Times New Roman" w:hAnsi="Times New Roman" w:cs="Times New Roman"/>
          <w:szCs w:val="24"/>
        </w:rPr>
        <w:t>“e</w:t>
      </w:r>
      <w:r w:rsidR="002C1BCD" w:rsidRPr="00600AFD">
        <w:rPr>
          <w:rFonts w:ascii="Times New Roman" w:hAnsi="Times New Roman" w:cs="Times New Roman"/>
          <w:szCs w:val="24"/>
        </w:rPr>
        <w:t>veryone is entitled in full equality to a fair and public hearing by an independent and impartial tribunal</w:t>
      </w:r>
      <w:r w:rsidR="006A5934" w:rsidRPr="00600AFD">
        <w:rPr>
          <w:rFonts w:ascii="Times New Roman" w:hAnsi="Times New Roman" w:cs="Times New Roman"/>
          <w:szCs w:val="24"/>
        </w:rPr>
        <w:t xml:space="preserve">…” </w:t>
      </w:r>
      <w:r w:rsidR="00D24DEC" w:rsidRPr="00600AFD">
        <w:rPr>
          <w:rFonts w:ascii="Times New Roman" w:hAnsi="Times New Roman" w:cs="Times New Roman"/>
          <w:szCs w:val="24"/>
        </w:rPr>
        <w:t xml:space="preserve">In a similar vein, </w:t>
      </w:r>
      <w:r w:rsidR="005E1090" w:rsidRPr="00600AFD">
        <w:rPr>
          <w:rFonts w:ascii="Times New Roman" w:hAnsi="Times New Roman" w:cs="Times New Roman"/>
          <w:szCs w:val="24"/>
        </w:rPr>
        <w:t xml:space="preserve">the International Covenant on </w:t>
      </w:r>
      <w:r w:rsidR="00066EAB" w:rsidRPr="00600AFD">
        <w:rPr>
          <w:rFonts w:ascii="Times New Roman" w:hAnsi="Times New Roman" w:cs="Times New Roman"/>
          <w:szCs w:val="24"/>
        </w:rPr>
        <w:t>Civil and Political Rights (article 14)</w:t>
      </w:r>
      <w:r w:rsidR="00FF0F1C" w:rsidRPr="00600AFD">
        <w:rPr>
          <w:rStyle w:val="FootnoteReference"/>
          <w:rFonts w:ascii="Times New Roman" w:hAnsi="Times New Roman" w:cs="Times New Roman"/>
          <w:szCs w:val="24"/>
        </w:rPr>
        <w:t xml:space="preserve"> </w:t>
      </w:r>
      <w:r w:rsidR="00FF0F1C" w:rsidRPr="00600AFD">
        <w:rPr>
          <w:rStyle w:val="FootnoteReference"/>
          <w:rFonts w:ascii="Times New Roman" w:hAnsi="Times New Roman" w:cs="Times New Roman"/>
          <w:szCs w:val="24"/>
        </w:rPr>
        <w:footnoteReference w:id="17"/>
      </w:r>
      <w:r w:rsidR="00066EAB" w:rsidRPr="00600AFD">
        <w:rPr>
          <w:rFonts w:ascii="Times New Roman" w:hAnsi="Times New Roman" w:cs="Times New Roman"/>
          <w:szCs w:val="24"/>
        </w:rPr>
        <w:t>, as well as the EU Charter on Fundamental Rights and Freedoms</w:t>
      </w:r>
      <w:r w:rsidR="00D126B9" w:rsidRPr="00600AFD">
        <w:rPr>
          <w:rFonts w:ascii="Times New Roman" w:hAnsi="Times New Roman" w:cs="Times New Roman"/>
          <w:szCs w:val="24"/>
        </w:rPr>
        <w:t xml:space="preserve"> </w:t>
      </w:r>
      <w:r w:rsidR="007A2F0C" w:rsidRPr="00600AFD">
        <w:rPr>
          <w:rFonts w:ascii="Times New Roman" w:hAnsi="Times New Roman" w:cs="Times New Roman"/>
          <w:szCs w:val="24"/>
        </w:rPr>
        <w:t>(</w:t>
      </w:r>
      <w:r w:rsidR="00D126B9" w:rsidRPr="00600AFD">
        <w:rPr>
          <w:rFonts w:ascii="Times New Roman" w:hAnsi="Times New Roman" w:cs="Times New Roman"/>
          <w:szCs w:val="24"/>
        </w:rPr>
        <w:t xml:space="preserve">article 14, para. </w:t>
      </w:r>
      <w:r w:rsidR="007A2F0C" w:rsidRPr="00600AFD">
        <w:rPr>
          <w:rFonts w:ascii="Times New Roman" w:hAnsi="Times New Roman" w:cs="Times New Roman"/>
          <w:szCs w:val="24"/>
        </w:rPr>
        <w:t>2)</w:t>
      </w:r>
      <w:r w:rsidR="007A2F0C" w:rsidRPr="00600AFD">
        <w:rPr>
          <w:rStyle w:val="FootnoteReference"/>
          <w:rFonts w:ascii="Times New Roman" w:hAnsi="Times New Roman" w:cs="Times New Roman"/>
          <w:szCs w:val="24"/>
        </w:rPr>
        <w:footnoteReference w:id="18"/>
      </w:r>
      <w:r w:rsidR="003064F8" w:rsidRPr="00600AFD">
        <w:rPr>
          <w:rFonts w:ascii="Times New Roman" w:hAnsi="Times New Roman" w:cs="Times New Roman"/>
          <w:szCs w:val="24"/>
        </w:rPr>
        <w:t xml:space="preserve"> </w:t>
      </w:r>
      <w:r w:rsidR="00D95232" w:rsidRPr="00600AFD">
        <w:rPr>
          <w:rFonts w:ascii="Times New Roman" w:hAnsi="Times New Roman" w:cs="Times New Roman"/>
          <w:szCs w:val="24"/>
        </w:rPr>
        <w:t xml:space="preserve">guarantee </w:t>
      </w:r>
      <w:r w:rsidR="007E7193" w:rsidRPr="00600AFD">
        <w:rPr>
          <w:rFonts w:ascii="Times New Roman" w:hAnsi="Times New Roman" w:cs="Times New Roman"/>
          <w:szCs w:val="24"/>
        </w:rPr>
        <w:t xml:space="preserve">individuals a fair and public hearing </w:t>
      </w:r>
      <w:r w:rsidR="002610A8" w:rsidRPr="00600AFD">
        <w:rPr>
          <w:rFonts w:ascii="Times New Roman" w:hAnsi="Times New Roman" w:cs="Times New Roman"/>
          <w:szCs w:val="24"/>
        </w:rPr>
        <w:t xml:space="preserve">before a competent, independent and impartial </w:t>
      </w:r>
      <w:r w:rsidR="00C261CC" w:rsidRPr="00600AFD">
        <w:rPr>
          <w:rFonts w:ascii="Times New Roman" w:hAnsi="Times New Roman" w:cs="Times New Roman"/>
          <w:szCs w:val="24"/>
        </w:rPr>
        <w:t xml:space="preserve">court. </w:t>
      </w:r>
    </w:p>
    <w:p w14:paraId="2BFE58D6" w14:textId="3FB9DE2B" w:rsidR="00351171" w:rsidRPr="00600AFD" w:rsidRDefault="00AA0BDB" w:rsidP="00D614CF">
      <w:pPr>
        <w:pStyle w:val="Default"/>
        <w:spacing w:after="160" w:line="276" w:lineRule="auto"/>
        <w:jc w:val="both"/>
        <w:rPr>
          <w:rFonts w:ascii="Times New Roman" w:hAnsi="Times New Roman" w:cs="Times New Roman"/>
          <w:color w:val="auto"/>
        </w:rPr>
      </w:pPr>
      <w:r w:rsidRPr="00600AFD">
        <w:rPr>
          <w:rFonts w:ascii="Times New Roman" w:hAnsi="Times New Roman" w:cs="Times New Roman"/>
          <w:color w:val="auto"/>
        </w:rPr>
        <w:t xml:space="preserve">An </w:t>
      </w:r>
      <w:r w:rsidR="00F153BD" w:rsidRPr="00600AFD">
        <w:rPr>
          <w:rFonts w:ascii="Times New Roman" w:hAnsi="Times New Roman" w:cs="Times New Roman"/>
          <w:color w:val="auto"/>
        </w:rPr>
        <w:t>essential</w:t>
      </w:r>
      <w:r w:rsidR="005B2B83" w:rsidRPr="00600AFD">
        <w:rPr>
          <w:rFonts w:ascii="Times New Roman" w:hAnsi="Times New Roman" w:cs="Times New Roman"/>
          <w:color w:val="auto"/>
        </w:rPr>
        <w:t xml:space="preserve"> factor</w:t>
      </w:r>
      <w:r w:rsidRPr="00600AFD">
        <w:rPr>
          <w:rFonts w:ascii="Times New Roman" w:hAnsi="Times New Roman" w:cs="Times New Roman"/>
          <w:color w:val="auto"/>
        </w:rPr>
        <w:t xml:space="preserve"> of independence of the judiciary </w:t>
      </w:r>
      <w:r w:rsidR="005F0399" w:rsidRPr="00600AFD">
        <w:rPr>
          <w:rFonts w:ascii="Times New Roman" w:hAnsi="Times New Roman" w:cs="Times New Roman"/>
          <w:color w:val="auto"/>
        </w:rPr>
        <w:t xml:space="preserve">are </w:t>
      </w:r>
      <w:r w:rsidR="005F5AAD" w:rsidRPr="00600AFD">
        <w:rPr>
          <w:rFonts w:ascii="Times New Roman" w:hAnsi="Times New Roman" w:cs="Times New Roman"/>
          <w:color w:val="auto"/>
        </w:rPr>
        <w:t xml:space="preserve">the </w:t>
      </w:r>
      <w:r w:rsidR="005F0399" w:rsidRPr="00600AFD">
        <w:rPr>
          <w:rFonts w:ascii="Times New Roman" w:hAnsi="Times New Roman" w:cs="Times New Roman"/>
          <w:color w:val="auto"/>
        </w:rPr>
        <w:t>prosecutors who</w:t>
      </w:r>
      <w:r w:rsidR="005F5AAD" w:rsidRPr="00600AFD">
        <w:rPr>
          <w:rFonts w:ascii="Times New Roman" w:hAnsi="Times New Roman" w:cs="Times New Roman"/>
          <w:color w:val="auto"/>
        </w:rPr>
        <w:t>, as part of their work,</w:t>
      </w:r>
      <w:r w:rsidR="00B80A10" w:rsidRPr="00600AFD">
        <w:rPr>
          <w:rFonts w:ascii="Times New Roman" w:hAnsi="Times New Roman" w:cs="Times New Roman"/>
          <w:color w:val="auto"/>
        </w:rPr>
        <w:t xml:space="preserve"> “</w:t>
      </w:r>
      <w:r w:rsidR="00B90DD6" w:rsidRPr="00600AFD">
        <w:rPr>
          <w:rFonts w:ascii="Times New Roman" w:hAnsi="Times New Roman" w:cs="Times New Roman"/>
          <w:color w:val="auto"/>
        </w:rPr>
        <w:t>should be autonomous in their decision</w:t>
      </w:r>
      <w:r w:rsidR="000F3999">
        <w:rPr>
          <w:rFonts w:ascii="Times New Roman" w:hAnsi="Times New Roman" w:cs="Times New Roman"/>
          <w:color w:val="auto"/>
        </w:rPr>
        <w:t>–</w:t>
      </w:r>
      <w:r w:rsidR="00B90DD6" w:rsidRPr="00600AFD">
        <w:rPr>
          <w:rFonts w:ascii="Times New Roman" w:hAnsi="Times New Roman" w:cs="Times New Roman"/>
          <w:color w:val="auto"/>
        </w:rPr>
        <w:t>making and should perform their duties free from external pressure or interference, having regard to the principles of separation of powers and accountability</w:t>
      </w:r>
      <w:r w:rsidR="00B80A10" w:rsidRPr="00600AFD">
        <w:rPr>
          <w:rFonts w:ascii="Times New Roman" w:hAnsi="Times New Roman" w:cs="Times New Roman"/>
          <w:color w:val="auto"/>
        </w:rPr>
        <w:t xml:space="preserve">”, as </w:t>
      </w:r>
      <w:r w:rsidR="005F5AAD" w:rsidRPr="00600AFD">
        <w:rPr>
          <w:rFonts w:ascii="Times New Roman" w:hAnsi="Times New Roman" w:cs="Times New Roman"/>
          <w:color w:val="auto"/>
        </w:rPr>
        <w:t>stated</w:t>
      </w:r>
      <w:r w:rsidR="00B80A10" w:rsidRPr="00600AFD">
        <w:rPr>
          <w:rFonts w:ascii="Times New Roman" w:hAnsi="Times New Roman" w:cs="Times New Roman"/>
          <w:color w:val="auto"/>
        </w:rPr>
        <w:t xml:space="preserve"> in the Opinion </w:t>
      </w:r>
      <w:r w:rsidR="00E30C4E" w:rsidRPr="00600AFD">
        <w:rPr>
          <w:rFonts w:ascii="Times New Roman" w:hAnsi="Times New Roman" w:cs="Times New Roman"/>
          <w:color w:val="auto"/>
        </w:rPr>
        <w:t>No. 9 (2014) of the Consultative Council of European Prosecutors</w:t>
      </w:r>
      <w:r w:rsidR="004E7379" w:rsidRPr="00600AFD">
        <w:rPr>
          <w:rFonts w:ascii="Times New Roman" w:hAnsi="Times New Roman" w:cs="Times New Roman"/>
          <w:color w:val="auto"/>
        </w:rPr>
        <w:t>, the so</w:t>
      </w:r>
      <w:r w:rsidR="000F3999">
        <w:rPr>
          <w:rFonts w:ascii="Times New Roman" w:hAnsi="Times New Roman" w:cs="Times New Roman"/>
          <w:color w:val="auto"/>
        </w:rPr>
        <w:t>–</w:t>
      </w:r>
      <w:r w:rsidR="004E7379" w:rsidRPr="00600AFD">
        <w:rPr>
          <w:rFonts w:ascii="Times New Roman" w:hAnsi="Times New Roman" w:cs="Times New Roman"/>
          <w:color w:val="auto"/>
        </w:rPr>
        <w:t xml:space="preserve">called Rome Charter. </w:t>
      </w:r>
      <w:r w:rsidR="005F5AAD" w:rsidRPr="00600AFD">
        <w:rPr>
          <w:rFonts w:ascii="Times New Roman" w:hAnsi="Times New Roman" w:cs="Times New Roman"/>
          <w:color w:val="auto"/>
        </w:rPr>
        <w:t xml:space="preserve">In addition, </w:t>
      </w:r>
      <w:r w:rsidR="00C277A3" w:rsidRPr="00600AFD">
        <w:rPr>
          <w:rFonts w:ascii="Times New Roman" w:hAnsi="Times New Roman" w:cs="Times New Roman"/>
          <w:color w:val="auto"/>
        </w:rPr>
        <w:t xml:space="preserve">the same document, in </w:t>
      </w:r>
      <w:r w:rsidR="00F153BD" w:rsidRPr="00600AFD">
        <w:rPr>
          <w:rFonts w:ascii="Times New Roman" w:hAnsi="Times New Roman" w:cs="Times New Roman"/>
          <w:color w:val="auto"/>
        </w:rPr>
        <w:t>the</w:t>
      </w:r>
      <w:r w:rsidR="00C277A3" w:rsidRPr="00600AFD">
        <w:rPr>
          <w:rFonts w:ascii="Times New Roman" w:hAnsi="Times New Roman" w:cs="Times New Roman"/>
          <w:color w:val="auto"/>
        </w:rPr>
        <w:t xml:space="preserve"> </w:t>
      </w:r>
      <w:r w:rsidR="00F153BD" w:rsidRPr="00600AFD">
        <w:rPr>
          <w:rFonts w:ascii="Times New Roman" w:hAnsi="Times New Roman" w:cs="Times New Roman"/>
          <w:color w:val="auto"/>
        </w:rPr>
        <w:t>section</w:t>
      </w:r>
      <w:r w:rsidR="00C277A3" w:rsidRPr="00600AFD">
        <w:rPr>
          <w:rFonts w:ascii="Times New Roman" w:hAnsi="Times New Roman" w:cs="Times New Roman"/>
          <w:color w:val="auto"/>
        </w:rPr>
        <w:t xml:space="preserve"> pertaining to the </w:t>
      </w:r>
      <w:r w:rsidR="00DC056E" w:rsidRPr="00600AFD">
        <w:rPr>
          <w:rFonts w:ascii="Times New Roman" w:hAnsi="Times New Roman" w:cs="Times New Roman"/>
          <w:color w:val="auto"/>
        </w:rPr>
        <w:t xml:space="preserve">status of prosecutors </w:t>
      </w:r>
      <w:r w:rsidR="004A62BF" w:rsidRPr="00600AFD">
        <w:rPr>
          <w:rFonts w:ascii="Times New Roman" w:hAnsi="Times New Roman" w:cs="Times New Roman"/>
          <w:color w:val="auto"/>
        </w:rPr>
        <w:t xml:space="preserve">and the guarantees </w:t>
      </w:r>
      <w:r w:rsidR="003E6C85" w:rsidRPr="00600AFD">
        <w:rPr>
          <w:rFonts w:ascii="Times New Roman" w:hAnsi="Times New Roman" w:cs="Times New Roman"/>
          <w:color w:val="auto"/>
        </w:rPr>
        <w:t xml:space="preserve">for </w:t>
      </w:r>
      <w:r w:rsidR="008247C2" w:rsidRPr="00600AFD">
        <w:rPr>
          <w:rFonts w:ascii="Times New Roman" w:hAnsi="Times New Roman" w:cs="Times New Roman"/>
          <w:color w:val="auto"/>
        </w:rPr>
        <w:t>performing their function</w:t>
      </w:r>
      <w:r w:rsidR="000121D0" w:rsidRPr="00600AFD">
        <w:rPr>
          <w:rFonts w:ascii="Times New Roman" w:hAnsi="Times New Roman" w:cs="Times New Roman"/>
          <w:color w:val="auto"/>
        </w:rPr>
        <w:t xml:space="preserve">, in </w:t>
      </w:r>
      <w:r w:rsidR="00934643" w:rsidRPr="00600AFD">
        <w:rPr>
          <w:rFonts w:ascii="Times New Roman" w:hAnsi="Times New Roman" w:cs="Times New Roman"/>
          <w:color w:val="auto"/>
        </w:rPr>
        <w:t>item 33</w:t>
      </w:r>
      <w:r w:rsidR="008449B0" w:rsidRPr="00600AFD">
        <w:rPr>
          <w:rFonts w:ascii="Times New Roman" w:hAnsi="Times New Roman" w:cs="Times New Roman"/>
          <w:color w:val="auto"/>
        </w:rPr>
        <w:t>, stipulates</w:t>
      </w:r>
      <w:r w:rsidR="00755712" w:rsidRPr="00600AFD">
        <w:rPr>
          <w:rFonts w:ascii="Times New Roman" w:hAnsi="Times New Roman" w:cs="Times New Roman"/>
          <w:color w:val="auto"/>
        </w:rPr>
        <w:t xml:space="preserve"> </w:t>
      </w:r>
      <w:r w:rsidR="00231766" w:rsidRPr="00600AFD">
        <w:rPr>
          <w:rFonts w:ascii="Times New Roman" w:hAnsi="Times New Roman" w:cs="Times New Roman"/>
          <w:color w:val="auto"/>
        </w:rPr>
        <w:t>that the “i</w:t>
      </w:r>
      <w:r w:rsidR="00755712" w:rsidRPr="00600AFD">
        <w:rPr>
          <w:rFonts w:ascii="Times New Roman" w:hAnsi="Times New Roman" w:cs="Times New Roman"/>
          <w:color w:val="auto"/>
        </w:rPr>
        <w:t xml:space="preserve">ndependence of prosecutors – which is essential for the rule of law </w:t>
      </w:r>
      <w:r w:rsidR="000F3999">
        <w:rPr>
          <w:rFonts w:ascii="Times New Roman" w:hAnsi="Times New Roman" w:cs="Times New Roman"/>
          <w:color w:val="auto"/>
        </w:rPr>
        <w:t>–</w:t>
      </w:r>
      <w:r w:rsidR="00755712" w:rsidRPr="00600AFD">
        <w:rPr>
          <w:rFonts w:ascii="Times New Roman" w:hAnsi="Times New Roman" w:cs="Times New Roman"/>
          <w:color w:val="auto"/>
        </w:rPr>
        <w:t xml:space="preserve"> must be guaranteed by law, at the highest possible level, in a manner similar to that of judges</w:t>
      </w:r>
      <w:r w:rsidR="00231766" w:rsidRPr="00600AFD">
        <w:rPr>
          <w:rFonts w:ascii="Times New Roman" w:hAnsi="Times New Roman" w:cs="Times New Roman"/>
          <w:color w:val="auto"/>
        </w:rPr>
        <w:t>”</w:t>
      </w:r>
      <w:r w:rsidR="00755712" w:rsidRPr="00600AFD">
        <w:rPr>
          <w:rFonts w:ascii="Times New Roman" w:hAnsi="Times New Roman" w:cs="Times New Roman"/>
          <w:color w:val="auto"/>
        </w:rPr>
        <w:t xml:space="preserve">. </w:t>
      </w:r>
      <w:r w:rsidR="003610D5" w:rsidRPr="00600AFD">
        <w:rPr>
          <w:rFonts w:ascii="Times New Roman" w:hAnsi="Times New Roman" w:cs="Times New Roman"/>
          <w:color w:val="auto"/>
        </w:rPr>
        <w:t xml:space="preserve">The United Nations’ documents on the role of public prosecutors also specify </w:t>
      </w:r>
      <w:r w:rsidR="005E6136" w:rsidRPr="00600AFD">
        <w:rPr>
          <w:rFonts w:ascii="Times New Roman" w:hAnsi="Times New Roman" w:cs="Times New Roman"/>
          <w:color w:val="auto"/>
        </w:rPr>
        <w:t>that accountability and autonomy are the two aspects of the same phenomenon.</w:t>
      </w:r>
      <w:r w:rsidR="00A948A6" w:rsidRPr="00600AFD">
        <w:rPr>
          <w:rFonts w:ascii="Times New Roman" w:hAnsi="Times New Roman" w:cs="Times New Roman"/>
          <w:color w:val="auto"/>
        </w:rPr>
        <w:t xml:space="preserve"> </w:t>
      </w:r>
      <w:r w:rsidR="001E2425" w:rsidRPr="00600AFD">
        <w:rPr>
          <w:rFonts w:ascii="Times New Roman" w:hAnsi="Times New Roman" w:cs="Times New Roman"/>
          <w:color w:val="auto"/>
        </w:rPr>
        <w:t xml:space="preserve">The </w:t>
      </w:r>
      <w:r w:rsidR="00D444A6" w:rsidRPr="00600AFD">
        <w:rPr>
          <w:rFonts w:ascii="Times New Roman" w:hAnsi="Times New Roman" w:cs="Times New Roman"/>
          <w:color w:val="auto"/>
        </w:rPr>
        <w:t>autonomy</w:t>
      </w:r>
      <w:r w:rsidR="007E06A2" w:rsidRPr="00600AFD">
        <w:rPr>
          <w:rFonts w:ascii="Times New Roman" w:hAnsi="Times New Roman" w:cs="Times New Roman"/>
          <w:color w:val="auto"/>
        </w:rPr>
        <w:t xml:space="preserve"> of public prosecutors and deputy public prosecutors is not the </w:t>
      </w:r>
      <w:r w:rsidR="001E2425" w:rsidRPr="00600AFD">
        <w:rPr>
          <w:rFonts w:ascii="Times New Roman" w:hAnsi="Times New Roman" w:cs="Times New Roman"/>
          <w:color w:val="auto"/>
        </w:rPr>
        <w:t xml:space="preserve">same as the independence of judges. </w:t>
      </w:r>
      <w:r w:rsidR="00C35958" w:rsidRPr="00600AFD">
        <w:rPr>
          <w:rFonts w:ascii="Times New Roman" w:hAnsi="Times New Roman" w:cs="Times New Roman"/>
          <w:color w:val="auto"/>
        </w:rPr>
        <w:t xml:space="preserve">The difference is that judges </w:t>
      </w:r>
      <w:r w:rsidR="00FC37D6" w:rsidRPr="00600AFD">
        <w:rPr>
          <w:rFonts w:ascii="Times New Roman" w:hAnsi="Times New Roman" w:cs="Times New Roman"/>
          <w:color w:val="auto"/>
        </w:rPr>
        <w:t>enjoy internal independence (</w:t>
      </w:r>
      <w:r w:rsidR="00CE3715" w:rsidRPr="00600AFD">
        <w:rPr>
          <w:rFonts w:ascii="Times New Roman" w:hAnsi="Times New Roman" w:cs="Times New Roman"/>
          <w:color w:val="auto"/>
        </w:rPr>
        <w:t xml:space="preserve">independence from </w:t>
      </w:r>
      <w:r w:rsidR="00911F50" w:rsidRPr="00600AFD">
        <w:rPr>
          <w:rFonts w:ascii="Times New Roman" w:hAnsi="Times New Roman" w:cs="Times New Roman"/>
          <w:color w:val="auto"/>
        </w:rPr>
        <w:t xml:space="preserve">influence originating from </w:t>
      </w:r>
      <w:r w:rsidR="00A35FC3" w:rsidRPr="00600AFD">
        <w:rPr>
          <w:rFonts w:ascii="Times New Roman" w:hAnsi="Times New Roman" w:cs="Times New Roman"/>
          <w:color w:val="auto"/>
        </w:rPr>
        <w:t>the domain of judges</w:t>
      </w:r>
      <w:r w:rsidR="0086454B" w:rsidRPr="00600AFD">
        <w:rPr>
          <w:rFonts w:ascii="Times New Roman" w:hAnsi="Times New Roman" w:cs="Times New Roman"/>
          <w:color w:val="auto"/>
        </w:rPr>
        <w:t>)</w:t>
      </w:r>
      <w:r w:rsidR="008B47B1" w:rsidRPr="00600AFD">
        <w:rPr>
          <w:rFonts w:ascii="Times New Roman" w:hAnsi="Times New Roman" w:cs="Times New Roman"/>
          <w:color w:val="auto"/>
        </w:rPr>
        <w:t>,</w:t>
      </w:r>
      <w:r w:rsidR="0086454B" w:rsidRPr="00600AFD">
        <w:rPr>
          <w:rFonts w:ascii="Times New Roman" w:hAnsi="Times New Roman" w:cs="Times New Roman"/>
          <w:color w:val="auto"/>
        </w:rPr>
        <w:t xml:space="preserve"> </w:t>
      </w:r>
      <w:r w:rsidR="0086454B" w:rsidRPr="00600AFD">
        <w:rPr>
          <w:rFonts w:ascii="Times New Roman" w:hAnsi="Times New Roman" w:cs="Times New Roman"/>
          <w:color w:val="auto"/>
        </w:rPr>
        <w:lastRenderedPageBreak/>
        <w:t>which is not the case with public prosecutors and deputy public prosecutors</w:t>
      </w:r>
      <w:r w:rsidR="001F0840" w:rsidRPr="00600AFD">
        <w:rPr>
          <w:rFonts w:ascii="Times New Roman" w:hAnsi="Times New Roman" w:cs="Times New Roman"/>
          <w:color w:val="auto"/>
        </w:rPr>
        <w:t>. Autonomy of</w:t>
      </w:r>
      <w:r w:rsidR="00D81448" w:rsidRPr="00600AFD">
        <w:rPr>
          <w:rFonts w:ascii="Times New Roman" w:hAnsi="Times New Roman" w:cs="Times New Roman"/>
          <w:color w:val="auto"/>
        </w:rPr>
        <w:t xml:space="preserve"> a prosecutor’s office </w:t>
      </w:r>
      <w:r w:rsidR="008B47B1" w:rsidRPr="00600AFD">
        <w:rPr>
          <w:rFonts w:ascii="Times New Roman" w:hAnsi="Times New Roman" w:cs="Times New Roman"/>
          <w:color w:val="auto"/>
        </w:rPr>
        <w:t>resides</w:t>
      </w:r>
      <w:r w:rsidR="00D81448" w:rsidRPr="00600AFD">
        <w:rPr>
          <w:rFonts w:ascii="Times New Roman" w:hAnsi="Times New Roman" w:cs="Times New Roman"/>
          <w:color w:val="auto"/>
        </w:rPr>
        <w:t xml:space="preserve"> in its relations with </w:t>
      </w:r>
      <w:r w:rsidR="009A09A6" w:rsidRPr="00600AFD">
        <w:rPr>
          <w:rFonts w:ascii="Times New Roman" w:hAnsi="Times New Roman" w:cs="Times New Roman"/>
          <w:color w:val="auto"/>
        </w:rPr>
        <w:t xml:space="preserve">legislative and executive </w:t>
      </w:r>
      <w:r w:rsidR="003B335A" w:rsidRPr="00600AFD">
        <w:rPr>
          <w:rFonts w:ascii="Times New Roman" w:hAnsi="Times New Roman" w:cs="Times New Roman"/>
          <w:color w:val="auto"/>
        </w:rPr>
        <w:t>authorities but</w:t>
      </w:r>
      <w:r w:rsidR="009A09A6" w:rsidRPr="00600AFD">
        <w:rPr>
          <w:rFonts w:ascii="Times New Roman" w:hAnsi="Times New Roman" w:cs="Times New Roman"/>
          <w:color w:val="auto"/>
        </w:rPr>
        <w:t xml:space="preserve"> </w:t>
      </w:r>
      <w:r w:rsidR="00207A59" w:rsidRPr="00600AFD">
        <w:rPr>
          <w:rFonts w:ascii="Times New Roman" w:hAnsi="Times New Roman" w:cs="Times New Roman"/>
          <w:color w:val="auto"/>
        </w:rPr>
        <w:t xml:space="preserve">given the </w:t>
      </w:r>
      <w:r w:rsidR="00DB2C63" w:rsidRPr="00600AFD">
        <w:rPr>
          <w:rFonts w:ascii="Times New Roman" w:hAnsi="Times New Roman" w:cs="Times New Roman"/>
          <w:color w:val="auto"/>
        </w:rPr>
        <w:t>hierarchical</w:t>
      </w:r>
      <w:r w:rsidR="00207A59" w:rsidRPr="00600AFD">
        <w:rPr>
          <w:rFonts w:ascii="Times New Roman" w:hAnsi="Times New Roman" w:cs="Times New Roman"/>
          <w:color w:val="auto"/>
        </w:rPr>
        <w:t xml:space="preserve"> and monocratic </w:t>
      </w:r>
      <w:r w:rsidR="000448D8" w:rsidRPr="00600AFD">
        <w:rPr>
          <w:rFonts w:ascii="Times New Roman" w:hAnsi="Times New Roman" w:cs="Times New Roman"/>
          <w:color w:val="auto"/>
        </w:rPr>
        <w:t xml:space="preserve">organizational structure of </w:t>
      </w:r>
      <w:r w:rsidR="0055240B" w:rsidRPr="00600AFD">
        <w:rPr>
          <w:rFonts w:ascii="Times New Roman" w:hAnsi="Times New Roman" w:cs="Times New Roman"/>
          <w:color w:val="auto"/>
        </w:rPr>
        <w:t xml:space="preserve">the prosecution service, it is limited </w:t>
      </w:r>
      <w:r w:rsidR="004A1CCE" w:rsidRPr="00600AFD">
        <w:rPr>
          <w:rFonts w:ascii="Times New Roman" w:hAnsi="Times New Roman" w:cs="Times New Roman"/>
          <w:color w:val="auto"/>
        </w:rPr>
        <w:t xml:space="preserve">in mutual relations between public prosecutors and deputy public </w:t>
      </w:r>
      <w:r w:rsidR="008B47B1" w:rsidRPr="00600AFD">
        <w:rPr>
          <w:rFonts w:ascii="Times New Roman" w:hAnsi="Times New Roman" w:cs="Times New Roman"/>
          <w:color w:val="auto"/>
        </w:rPr>
        <w:t>prosecutors</w:t>
      </w:r>
      <w:r w:rsidR="00CF44E2" w:rsidRPr="00600AFD">
        <w:rPr>
          <w:rFonts w:ascii="Times New Roman" w:hAnsi="Times New Roman" w:cs="Times New Roman"/>
          <w:color w:val="auto"/>
        </w:rPr>
        <w:t>, and</w:t>
      </w:r>
      <w:r w:rsidR="008B47B1" w:rsidRPr="00600AFD">
        <w:rPr>
          <w:rFonts w:ascii="Times New Roman" w:hAnsi="Times New Roman" w:cs="Times New Roman"/>
          <w:color w:val="auto"/>
        </w:rPr>
        <w:t xml:space="preserve"> </w:t>
      </w:r>
      <w:r w:rsidR="00CF44E2" w:rsidRPr="00600AFD">
        <w:rPr>
          <w:rFonts w:ascii="Times New Roman" w:hAnsi="Times New Roman" w:cs="Times New Roman"/>
          <w:color w:val="auto"/>
        </w:rPr>
        <w:t>superior and subordinated public prosecutors.</w:t>
      </w:r>
      <w:r w:rsidR="00CF44E2" w:rsidRPr="00600AFD">
        <w:rPr>
          <w:rStyle w:val="FootnoteReference"/>
          <w:rFonts w:ascii="Times New Roman" w:hAnsi="Times New Roman" w:cs="Times New Roman"/>
          <w:color w:val="auto"/>
        </w:rPr>
        <w:footnoteReference w:id="19"/>
      </w:r>
      <w:r w:rsidR="00CF44E2" w:rsidRPr="00600AFD">
        <w:rPr>
          <w:rFonts w:ascii="Times New Roman" w:hAnsi="Times New Roman" w:cs="Times New Roman"/>
          <w:color w:val="auto"/>
        </w:rPr>
        <w:t>.</w:t>
      </w:r>
    </w:p>
    <w:p w14:paraId="57A2CBE7" w14:textId="7CB1C0DD" w:rsidR="006C2531" w:rsidRPr="00600AFD" w:rsidRDefault="00D40A24" w:rsidP="00414D2D">
      <w:pPr>
        <w:spacing w:line="276" w:lineRule="auto"/>
        <w:rPr>
          <w:rFonts w:ascii="Times New Roman" w:hAnsi="Times New Roman" w:cs="Times New Roman"/>
          <w:szCs w:val="24"/>
        </w:rPr>
      </w:pPr>
      <w:r w:rsidRPr="00600AFD">
        <w:rPr>
          <w:rFonts w:ascii="Times New Roman" w:hAnsi="Times New Roman" w:cs="Times New Roman"/>
          <w:szCs w:val="24"/>
        </w:rPr>
        <w:t xml:space="preserve">In order to consider </w:t>
      </w:r>
      <w:r w:rsidR="0084503C" w:rsidRPr="00600AFD">
        <w:rPr>
          <w:rFonts w:ascii="Times New Roman" w:hAnsi="Times New Roman" w:cs="Times New Roman"/>
          <w:szCs w:val="24"/>
        </w:rPr>
        <w:t xml:space="preserve">a country’s judiciary </w:t>
      </w:r>
      <w:r w:rsidR="00D200B4" w:rsidRPr="00600AFD">
        <w:rPr>
          <w:rFonts w:ascii="Times New Roman" w:hAnsi="Times New Roman" w:cs="Times New Roman"/>
          <w:szCs w:val="24"/>
        </w:rPr>
        <w:t>to be independent</w:t>
      </w:r>
      <w:r w:rsidR="00AA7AD0" w:rsidRPr="00600AFD">
        <w:rPr>
          <w:rFonts w:ascii="Times New Roman" w:hAnsi="Times New Roman" w:cs="Times New Roman"/>
          <w:szCs w:val="24"/>
        </w:rPr>
        <w:t xml:space="preserve"> and autonomous</w:t>
      </w:r>
      <w:r w:rsidR="00D200B4" w:rsidRPr="00600AFD">
        <w:rPr>
          <w:rFonts w:ascii="Times New Roman" w:hAnsi="Times New Roman" w:cs="Times New Roman"/>
          <w:szCs w:val="24"/>
        </w:rPr>
        <w:t xml:space="preserve">, it is necessary that the procedure for </w:t>
      </w:r>
      <w:r w:rsidR="0041390C" w:rsidRPr="00600AFD">
        <w:rPr>
          <w:rFonts w:ascii="Times New Roman" w:hAnsi="Times New Roman" w:cs="Times New Roman"/>
          <w:szCs w:val="24"/>
        </w:rPr>
        <w:t>nomination</w:t>
      </w:r>
      <w:r w:rsidR="0048563E" w:rsidRPr="00600AFD">
        <w:rPr>
          <w:rFonts w:ascii="Times New Roman" w:hAnsi="Times New Roman" w:cs="Times New Roman"/>
          <w:szCs w:val="24"/>
        </w:rPr>
        <w:t>, election</w:t>
      </w:r>
      <w:r w:rsidR="00C67235" w:rsidRPr="00600AFD">
        <w:rPr>
          <w:rFonts w:ascii="Times New Roman" w:hAnsi="Times New Roman" w:cs="Times New Roman"/>
          <w:szCs w:val="24"/>
        </w:rPr>
        <w:t xml:space="preserve">, promotion, transfer and termination of judicial office </w:t>
      </w:r>
      <w:r w:rsidR="00AC0BAF" w:rsidRPr="00600AFD">
        <w:rPr>
          <w:rFonts w:ascii="Times New Roman" w:hAnsi="Times New Roman" w:cs="Times New Roman"/>
          <w:szCs w:val="24"/>
        </w:rPr>
        <w:t xml:space="preserve">be based on clear, objective and </w:t>
      </w:r>
      <w:r w:rsidR="00B55554" w:rsidRPr="00600AFD">
        <w:rPr>
          <w:rFonts w:ascii="Times New Roman" w:hAnsi="Times New Roman" w:cs="Times New Roman"/>
          <w:szCs w:val="24"/>
        </w:rPr>
        <w:t>pre</w:t>
      </w:r>
      <w:r w:rsidR="000F3999">
        <w:rPr>
          <w:rFonts w:ascii="Times New Roman" w:hAnsi="Times New Roman" w:cs="Times New Roman"/>
          <w:szCs w:val="24"/>
        </w:rPr>
        <w:t>–</w:t>
      </w:r>
      <w:r w:rsidR="00B55554" w:rsidRPr="00600AFD">
        <w:rPr>
          <w:rFonts w:ascii="Times New Roman" w:hAnsi="Times New Roman" w:cs="Times New Roman"/>
          <w:szCs w:val="24"/>
        </w:rPr>
        <w:t>determined</w:t>
      </w:r>
      <w:r w:rsidR="005E4D64" w:rsidRPr="00600AFD">
        <w:rPr>
          <w:rFonts w:ascii="Times New Roman" w:hAnsi="Times New Roman" w:cs="Times New Roman"/>
          <w:szCs w:val="24"/>
        </w:rPr>
        <w:t xml:space="preserve"> criteria</w:t>
      </w:r>
      <w:r w:rsidR="008F7675" w:rsidRPr="00600AFD">
        <w:rPr>
          <w:rFonts w:ascii="Times New Roman" w:hAnsi="Times New Roman" w:cs="Times New Roman"/>
          <w:szCs w:val="24"/>
        </w:rPr>
        <w:t xml:space="preserve">, </w:t>
      </w:r>
      <w:r w:rsidR="008B47B1" w:rsidRPr="00600AFD">
        <w:rPr>
          <w:rFonts w:ascii="Times New Roman" w:hAnsi="Times New Roman" w:cs="Times New Roman"/>
          <w:szCs w:val="24"/>
        </w:rPr>
        <w:t xml:space="preserve">that is </w:t>
      </w:r>
      <w:r w:rsidR="008F7675" w:rsidRPr="00600AFD">
        <w:rPr>
          <w:rFonts w:ascii="Times New Roman" w:hAnsi="Times New Roman" w:cs="Times New Roman"/>
          <w:szCs w:val="24"/>
        </w:rPr>
        <w:t>fair</w:t>
      </w:r>
      <w:r w:rsidR="0048691C" w:rsidRPr="00600AFD">
        <w:rPr>
          <w:rFonts w:ascii="Times New Roman" w:hAnsi="Times New Roman" w:cs="Times New Roman"/>
          <w:szCs w:val="24"/>
        </w:rPr>
        <w:t xml:space="preserve">, </w:t>
      </w:r>
      <w:r w:rsidR="008F7675" w:rsidRPr="00600AFD">
        <w:rPr>
          <w:rFonts w:ascii="Times New Roman" w:hAnsi="Times New Roman" w:cs="Times New Roman"/>
          <w:szCs w:val="24"/>
        </w:rPr>
        <w:t>transparent</w:t>
      </w:r>
      <w:r w:rsidR="0048691C" w:rsidRPr="00600AFD">
        <w:rPr>
          <w:rFonts w:ascii="Times New Roman" w:hAnsi="Times New Roman" w:cs="Times New Roman"/>
          <w:szCs w:val="24"/>
        </w:rPr>
        <w:t xml:space="preserve"> and devoid </w:t>
      </w:r>
      <w:r w:rsidR="0044063E" w:rsidRPr="00600AFD">
        <w:rPr>
          <w:rFonts w:ascii="Times New Roman" w:hAnsi="Times New Roman" w:cs="Times New Roman"/>
          <w:szCs w:val="24"/>
        </w:rPr>
        <w:t xml:space="preserve">of any political and other influence of </w:t>
      </w:r>
      <w:r w:rsidR="00460F0D" w:rsidRPr="00600AFD">
        <w:rPr>
          <w:rFonts w:ascii="Times New Roman" w:hAnsi="Times New Roman" w:cs="Times New Roman"/>
          <w:szCs w:val="24"/>
        </w:rPr>
        <w:t xml:space="preserve">the legislative and executive authorities. </w:t>
      </w:r>
      <w:r w:rsidR="00B10BA3" w:rsidRPr="00600AFD">
        <w:rPr>
          <w:rFonts w:ascii="Times New Roman" w:hAnsi="Times New Roman" w:cs="Times New Roman"/>
          <w:szCs w:val="24"/>
        </w:rPr>
        <w:t>The only exception</w:t>
      </w:r>
      <w:r w:rsidR="00E70057" w:rsidRPr="00600AFD">
        <w:rPr>
          <w:rFonts w:ascii="Times New Roman" w:hAnsi="Times New Roman" w:cs="Times New Roman"/>
          <w:szCs w:val="24"/>
        </w:rPr>
        <w:t xml:space="preserve">, which complies with the standards of the Venice Commission, would pertain to the election and termination of office </w:t>
      </w:r>
      <w:r w:rsidR="000D3F68" w:rsidRPr="00600AFD">
        <w:rPr>
          <w:rFonts w:ascii="Times New Roman" w:hAnsi="Times New Roman" w:cs="Times New Roman"/>
          <w:szCs w:val="24"/>
        </w:rPr>
        <w:t xml:space="preserve">of the </w:t>
      </w:r>
      <w:r w:rsidR="00225772" w:rsidRPr="00600AFD">
        <w:rPr>
          <w:rFonts w:ascii="Times New Roman" w:hAnsi="Times New Roman" w:cs="Times New Roman"/>
          <w:szCs w:val="24"/>
        </w:rPr>
        <w:t>R</w:t>
      </w:r>
      <w:r w:rsidR="000D3F68" w:rsidRPr="00600AFD">
        <w:rPr>
          <w:rFonts w:ascii="Times New Roman" w:hAnsi="Times New Roman" w:cs="Times New Roman"/>
          <w:szCs w:val="24"/>
        </w:rPr>
        <w:t>epublic public prosecutor</w:t>
      </w:r>
      <w:r w:rsidR="008B47B1" w:rsidRPr="00600AFD">
        <w:rPr>
          <w:rFonts w:ascii="Times New Roman" w:hAnsi="Times New Roman" w:cs="Times New Roman"/>
          <w:szCs w:val="24"/>
        </w:rPr>
        <w:t>,</w:t>
      </w:r>
      <w:r w:rsidR="000D3F68" w:rsidRPr="00600AFD">
        <w:rPr>
          <w:rFonts w:ascii="Times New Roman" w:hAnsi="Times New Roman" w:cs="Times New Roman"/>
          <w:szCs w:val="24"/>
        </w:rPr>
        <w:t xml:space="preserve"> </w:t>
      </w:r>
      <w:r w:rsidR="00425D9D" w:rsidRPr="00600AFD">
        <w:rPr>
          <w:rFonts w:ascii="Times New Roman" w:hAnsi="Times New Roman" w:cs="Times New Roman"/>
          <w:szCs w:val="24"/>
        </w:rPr>
        <w:t>that would remain</w:t>
      </w:r>
      <w:r w:rsidR="003E09CF" w:rsidRPr="00600AFD">
        <w:rPr>
          <w:rFonts w:ascii="Times New Roman" w:hAnsi="Times New Roman" w:cs="Times New Roman"/>
          <w:szCs w:val="24"/>
        </w:rPr>
        <w:t xml:space="preserve"> under the competence </w:t>
      </w:r>
      <w:r w:rsidR="001D127F" w:rsidRPr="00600AFD">
        <w:rPr>
          <w:rFonts w:ascii="Times New Roman" w:hAnsi="Times New Roman" w:cs="Times New Roman"/>
          <w:szCs w:val="24"/>
        </w:rPr>
        <w:t>of the National Assembly</w:t>
      </w:r>
      <w:r w:rsidR="00E73A51" w:rsidRPr="00600AFD">
        <w:rPr>
          <w:rFonts w:ascii="Times New Roman" w:hAnsi="Times New Roman" w:cs="Times New Roman"/>
          <w:szCs w:val="24"/>
        </w:rPr>
        <w:t xml:space="preserve">, </w:t>
      </w:r>
      <w:r w:rsidR="00425D9D" w:rsidRPr="00600AFD">
        <w:rPr>
          <w:rFonts w:ascii="Times New Roman" w:hAnsi="Times New Roman" w:cs="Times New Roman"/>
          <w:szCs w:val="24"/>
        </w:rPr>
        <w:t xml:space="preserve">but the </w:t>
      </w:r>
      <w:r w:rsidR="00E73A51" w:rsidRPr="00600AFD">
        <w:rPr>
          <w:rFonts w:ascii="Times New Roman" w:hAnsi="Times New Roman" w:cs="Times New Roman"/>
          <w:szCs w:val="24"/>
        </w:rPr>
        <w:t>proposal</w:t>
      </w:r>
      <w:r w:rsidR="00302103" w:rsidRPr="00600AFD">
        <w:rPr>
          <w:rFonts w:ascii="Times New Roman" w:hAnsi="Times New Roman" w:cs="Times New Roman"/>
          <w:szCs w:val="24"/>
        </w:rPr>
        <w:t>s</w:t>
      </w:r>
      <w:r w:rsidR="00E73A51" w:rsidRPr="00600AFD">
        <w:rPr>
          <w:rFonts w:ascii="Times New Roman" w:hAnsi="Times New Roman" w:cs="Times New Roman"/>
          <w:szCs w:val="24"/>
        </w:rPr>
        <w:t xml:space="preserve"> </w:t>
      </w:r>
      <w:r w:rsidR="003C414E" w:rsidRPr="00600AFD">
        <w:rPr>
          <w:rFonts w:ascii="Times New Roman" w:hAnsi="Times New Roman" w:cs="Times New Roman"/>
          <w:szCs w:val="24"/>
        </w:rPr>
        <w:t xml:space="preserve">for </w:t>
      </w:r>
      <w:r w:rsidR="00E73A51" w:rsidRPr="00600AFD">
        <w:rPr>
          <w:rFonts w:ascii="Times New Roman" w:hAnsi="Times New Roman" w:cs="Times New Roman"/>
          <w:szCs w:val="24"/>
        </w:rPr>
        <w:t>elect</w:t>
      </w:r>
      <w:r w:rsidR="003C414E" w:rsidRPr="00600AFD">
        <w:rPr>
          <w:rFonts w:ascii="Times New Roman" w:hAnsi="Times New Roman" w:cs="Times New Roman"/>
          <w:szCs w:val="24"/>
        </w:rPr>
        <w:t>ion</w:t>
      </w:r>
      <w:r w:rsidR="00E73A51" w:rsidRPr="00600AFD">
        <w:rPr>
          <w:rFonts w:ascii="Times New Roman" w:hAnsi="Times New Roman" w:cs="Times New Roman"/>
          <w:szCs w:val="24"/>
        </w:rPr>
        <w:t xml:space="preserve"> and terminat</w:t>
      </w:r>
      <w:r w:rsidR="003C414E" w:rsidRPr="00600AFD">
        <w:rPr>
          <w:rFonts w:ascii="Times New Roman" w:hAnsi="Times New Roman" w:cs="Times New Roman"/>
          <w:szCs w:val="24"/>
        </w:rPr>
        <w:t>ion of</w:t>
      </w:r>
      <w:r w:rsidR="00E73A51" w:rsidRPr="00600AFD">
        <w:rPr>
          <w:rFonts w:ascii="Times New Roman" w:hAnsi="Times New Roman" w:cs="Times New Roman"/>
          <w:szCs w:val="24"/>
        </w:rPr>
        <w:t xml:space="preserve"> </w:t>
      </w:r>
      <w:r w:rsidR="003C414E" w:rsidRPr="00600AFD">
        <w:rPr>
          <w:rFonts w:ascii="Times New Roman" w:hAnsi="Times New Roman" w:cs="Times New Roman"/>
          <w:szCs w:val="24"/>
        </w:rPr>
        <w:t xml:space="preserve">office </w:t>
      </w:r>
      <w:r w:rsidR="00302103" w:rsidRPr="00600AFD">
        <w:rPr>
          <w:rFonts w:ascii="Times New Roman" w:hAnsi="Times New Roman" w:cs="Times New Roman"/>
          <w:szCs w:val="24"/>
        </w:rPr>
        <w:t>would be put forward by the Sate Prosecutorial Council</w:t>
      </w:r>
      <w:r w:rsidR="00560E26" w:rsidRPr="00600AFD">
        <w:rPr>
          <w:rFonts w:ascii="Times New Roman" w:hAnsi="Times New Roman" w:cs="Times New Roman"/>
          <w:szCs w:val="24"/>
        </w:rPr>
        <w:t>.</w:t>
      </w:r>
      <w:r w:rsidR="00560E26" w:rsidRPr="00600AFD">
        <w:rPr>
          <w:rStyle w:val="FootnoteReference"/>
          <w:rFonts w:ascii="Times New Roman" w:hAnsi="Times New Roman" w:cs="Times New Roman"/>
          <w:szCs w:val="24"/>
        </w:rPr>
        <w:t xml:space="preserve"> </w:t>
      </w:r>
      <w:r w:rsidR="00560E26" w:rsidRPr="00600AFD">
        <w:rPr>
          <w:rStyle w:val="FootnoteReference"/>
          <w:rFonts w:ascii="Times New Roman" w:hAnsi="Times New Roman" w:cs="Times New Roman"/>
          <w:szCs w:val="24"/>
        </w:rPr>
        <w:footnoteReference w:id="20"/>
      </w:r>
      <w:r w:rsidR="00560E26" w:rsidRPr="00600AFD">
        <w:rPr>
          <w:rFonts w:ascii="Times New Roman" w:hAnsi="Times New Roman" w:cs="Times New Roman"/>
          <w:szCs w:val="24"/>
        </w:rPr>
        <w:t xml:space="preserve"> </w:t>
      </w:r>
      <w:r w:rsidR="00306D2A" w:rsidRPr="00600AFD">
        <w:rPr>
          <w:rFonts w:ascii="Times New Roman" w:hAnsi="Times New Roman" w:cs="Times New Roman"/>
          <w:szCs w:val="24"/>
        </w:rPr>
        <w:t xml:space="preserve">The </w:t>
      </w:r>
      <w:r w:rsidR="00425D9D" w:rsidRPr="00600AFD">
        <w:rPr>
          <w:rFonts w:ascii="Times New Roman" w:hAnsi="Times New Roman" w:cs="Times New Roman"/>
          <w:szCs w:val="24"/>
        </w:rPr>
        <w:t xml:space="preserve">Republic </w:t>
      </w:r>
      <w:r w:rsidR="00DA2F9A" w:rsidRPr="00600AFD">
        <w:rPr>
          <w:rFonts w:ascii="Times New Roman" w:hAnsi="Times New Roman" w:cs="Times New Roman"/>
          <w:szCs w:val="24"/>
        </w:rPr>
        <w:t xml:space="preserve">public prosecutor </w:t>
      </w:r>
      <w:r w:rsidR="00413995" w:rsidRPr="00600AFD">
        <w:rPr>
          <w:rFonts w:ascii="Times New Roman" w:hAnsi="Times New Roman" w:cs="Times New Roman"/>
          <w:szCs w:val="24"/>
        </w:rPr>
        <w:t>would be elected by a qualified majority in the National Assembly</w:t>
      </w:r>
      <w:r w:rsidR="00560E26" w:rsidRPr="00600AFD">
        <w:rPr>
          <w:rFonts w:ascii="Times New Roman" w:hAnsi="Times New Roman" w:cs="Times New Roman"/>
          <w:szCs w:val="24"/>
        </w:rPr>
        <w:t>,</w:t>
      </w:r>
      <w:r w:rsidR="00560E26" w:rsidRPr="00600AFD">
        <w:rPr>
          <w:rStyle w:val="FootnoteReference"/>
          <w:rFonts w:ascii="Times New Roman" w:hAnsi="Times New Roman" w:cs="Times New Roman"/>
          <w:szCs w:val="24"/>
        </w:rPr>
        <w:footnoteReference w:id="21"/>
      </w:r>
      <w:r w:rsidR="00560E26" w:rsidRPr="00600AFD">
        <w:rPr>
          <w:rFonts w:ascii="Times New Roman" w:hAnsi="Times New Roman" w:cs="Times New Roman"/>
          <w:szCs w:val="24"/>
        </w:rPr>
        <w:t xml:space="preserve"> </w:t>
      </w:r>
      <w:r w:rsidR="00D13BC4" w:rsidRPr="00600AFD">
        <w:rPr>
          <w:rFonts w:ascii="Times New Roman" w:hAnsi="Times New Roman" w:cs="Times New Roman"/>
          <w:szCs w:val="24"/>
        </w:rPr>
        <w:t xml:space="preserve">thereby excluding </w:t>
      </w:r>
      <w:r w:rsidR="008B47B1" w:rsidRPr="00600AFD">
        <w:rPr>
          <w:rFonts w:ascii="Times New Roman" w:hAnsi="Times New Roman" w:cs="Times New Roman"/>
          <w:szCs w:val="24"/>
        </w:rPr>
        <w:t>the</w:t>
      </w:r>
      <w:r w:rsidR="00D13BC4" w:rsidRPr="00600AFD">
        <w:rPr>
          <w:rFonts w:ascii="Times New Roman" w:hAnsi="Times New Roman" w:cs="Times New Roman"/>
          <w:szCs w:val="24"/>
        </w:rPr>
        <w:t xml:space="preserve"> possibility that the </w:t>
      </w:r>
      <w:r w:rsidR="008662A1" w:rsidRPr="00600AFD">
        <w:rPr>
          <w:rFonts w:ascii="Times New Roman" w:hAnsi="Times New Roman" w:cs="Times New Roman"/>
          <w:szCs w:val="24"/>
        </w:rPr>
        <w:t xml:space="preserve">parliamentary </w:t>
      </w:r>
      <w:r w:rsidR="00D13BC4" w:rsidRPr="00600AFD">
        <w:rPr>
          <w:rFonts w:ascii="Times New Roman" w:hAnsi="Times New Roman" w:cs="Times New Roman"/>
          <w:szCs w:val="24"/>
        </w:rPr>
        <w:t>majority</w:t>
      </w:r>
      <w:r w:rsidR="008662A1" w:rsidRPr="00600AFD">
        <w:rPr>
          <w:rFonts w:ascii="Times New Roman" w:hAnsi="Times New Roman" w:cs="Times New Roman"/>
          <w:szCs w:val="24"/>
        </w:rPr>
        <w:t xml:space="preserve"> might outvote </w:t>
      </w:r>
      <w:r w:rsidR="007A5B67" w:rsidRPr="00600AFD">
        <w:rPr>
          <w:rFonts w:ascii="Times New Roman" w:hAnsi="Times New Roman" w:cs="Times New Roman"/>
          <w:szCs w:val="24"/>
        </w:rPr>
        <w:t xml:space="preserve">the parliamentary minority. </w:t>
      </w:r>
    </w:p>
    <w:p w14:paraId="1B7545AC" w14:textId="588CE2A0" w:rsidR="00414D2D" w:rsidRPr="00600AFD" w:rsidRDefault="00460F0D" w:rsidP="00414D2D">
      <w:pPr>
        <w:spacing w:line="276" w:lineRule="auto"/>
        <w:rPr>
          <w:rFonts w:ascii="Times New Roman" w:hAnsi="Times New Roman" w:cs="Times New Roman"/>
          <w:szCs w:val="24"/>
        </w:rPr>
      </w:pPr>
      <w:r w:rsidRPr="00600AFD">
        <w:rPr>
          <w:rFonts w:ascii="Times New Roman" w:hAnsi="Times New Roman" w:cs="Times New Roman"/>
          <w:szCs w:val="24"/>
        </w:rPr>
        <w:t>In addition, freedom of association of judges and prosecutors, as their right</w:t>
      </w:r>
      <w:r w:rsidR="00DE0DF2" w:rsidRPr="00600AFD">
        <w:rPr>
          <w:rFonts w:ascii="Times New Roman" w:hAnsi="Times New Roman" w:cs="Times New Roman"/>
          <w:szCs w:val="24"/>
        </w:rPr>
        <w:t xml:space="preserve"> aimed at safeguarding </w:t>
      </w:r>
      <w:r w:rsidR="00687D78" w:rsidRPr="00600AFD">
        <w:rPr>
          <w:rFonts w:ascii="Times New Roman" w:hAnsi="Times New Roman" w:cs="Times New Roman"/>
          <w:szCs w:val="24"/>
        </w:rPr>
        <w:t>the independence of judiciary and the autonomy of prosecutors</w:t>
      </w:r>
      <w:r w:rsidR="00FB2A32" w:rsidRPr="00600AFD">
        <w:rPr>
          <w:rFonts w:ascii="Times New Roman" w:hAnsi="Times New Roman" w:cs="Times New Roman"/>
          <w:szCs w:val="24"/>
        </w:rPr>
        <w:t>’ offices</w:t>
      </w:r>
      <w:r w:rsidR="00687D78" w:rsidRPr="00600AFD">
        <w:rPr>
          <w:rFonts w:ascii="Times New Roman" w:hAnsi="Times New Roman" w:cs="Times New Roman"/>
          <w:szCs w:val="24"/>
        </w:rPr>
        <w:t xml:space="preserve">, i.e. </w:t>
      </w:r>
      <w:r w:rsidR="00633C3B" w:rsidRPr="00600AFD">
        <w:rPr>
          <w:rFonts w:ascii="Times New Roman" w:hAnsi="Times New Roman" w:cs="Times New Roman"/>
          <w:szCs w:val="24"/>
        </w:rPr>
        <w:t xml:space="preserve">their </w:t>
      </w:r>
      <w:r w:rsidR="00F153BD" w:rsidRPr="00600AFD">
        <w:rPr>
          <w:rFonts w:ascii="Times New Roman" w:hAnsi="Times New Roman" w:cs="Times New Roman"/>
          <w:szCs w:val="24"/>
        </w:rPr>
        <w:t>professional</w:t>
      </w:r>
      <w:r w:rsidR="00633C3B" w:rsidRPr="00600AFD">
        <w:rPr>
          <w:rFonts w:ascii="Times New Roman" w:hAnsi="Times New Roman" w:cs="Times New Roman"/>
          <w:szCs w:val="24"/>
        </w:rPr>
        <w:t xml:space="preserve"> status in its entirety, is of importance for the strengthening of ethical principles and integrity. </w:t>
      </w:r>
    </w:p>
    <w:p w14:paraId="7CFE8869" w14:textId="358D3431" w:rsidR="00342FD3" w:rsidRPr="00600AFD" w:rsidRDefault="0062263D" w:rsidP="00973719">
      <w:pPr>
        <w:spacing w:line="276" w:lineRule="auto"/>
        <w:rPr>
          <w:rFonts w:ascii="Times New Roman" w:hAnsi="Times New Roman" w:cs="Times New Roman"/>
          <w:szCs w:val="24"/>
        </w:rPr>
      </w:pPr>
      <w:r w:rsidRPr="00600AFD">
        <w:rPr>
          <w:rFonts w:ascii="Times New Roman" w:hAnsi="Times New Roman" w:cs="Times New Roman"/>
          <w:szCs w:val="24"/>
        </w:rPr>
        <w:t xml:space="preserve">It may well be said that </w:t>
      </w:r>
      <w:r w:rsidR="001B21B3" w:rsidRPr="00600AFD">
        <w:rPr>
          <w:rFonts w:ascii="Times New Roman" w:hAnsi="Times New Roman" w:cs="Times New Roman"/>
          <w:szCs w:val="24"/>
        </w:rPr>
        <w:t xml:space="preserve">a positive development </w:t>
      </w:r>
      <w:r w:rsidR="003A04DC" w:rsidRPr="00600AFD">
        <w:rPr>
          <w:rFonts w:ascii="Times New Roman" w:hAnsi="Times New Roman" w:cs="Times New Roman"/>
          <w:szCs w:val="24"/>
        </w:rPr>
        <w:t xml:space="preserve">has been achieved in the process of election, promotion and accountability of judicial office holders, as well as </w:t>
      </w:r>
      <w:r w:rsidR="0019140B" w:rsidRPr="00600AFD">
        <w:rPr>
          <w:rFonts w:ascii="Times New Roman" w:hAnsi="Times New Roman" w:cs="Times New Roman"/>
          <w:szCs w:val="24"/>
        </w:rPr>
        <w:t xml:space="preserve">in the </w:t>
      </w:r>
      <w:r w:rsidR="003A04DC" w:rsidRPr="00600AFD">
        <w:rPr>
          <w:rFonts w:ascii="Times New Roman" w:hAnsi="Times New Roman" w:cs="Times New Roman"/>
          <w:szCs w:val="24"/>
        </w:rPr>
        <w:t xml:space="preserve">transparency </w:t>
      </w:r>
      <w:r w:rsidR="00C0266D" w:rsidRPr="00600AFD">
        <w:rPr>
          <w:rFonts w:ascii="Times New Roman" w:hAnsi="Times New Roman" w:cs="Times New Roman"/>
          <w:szCs w:val="24"/>
        </w:rPr>
        <w:t xml:space="preserve">of work of the High </w:t>
      </w:r>
      <w:r w:rsidR="00D60333" w:rsidRPr="00600AFD">
        <w:rPr>
          <w:rFonts w:ascii="Times New Roman" w:hAnsi="Times New Roman" w:cs="Times New Roman"/>
          <w:szCs w:val="24"/>
        </w:rPr>
        <w:t>Judicial</w:t>
      </w:r>
      <w:r w:rsidR="00D60333" w:rsidRPr="00600AFD" w:rsidDel="00D60333">
        <w:rPr>
          <w:rFonts w:ascii="Times New Roman" w:hAnsi="Times New Roman" w:cs="Times New Roman"/>
          <w:szCs w:val="24"/>
        </w:rPr>
        <w:t xml:space="preserve"> </w:t>
      </w:r>
      <w:r w:rsidR="00C0266D" w:rsidRPr="00600AFD">
        <w:rPr>
          <w:rFonts w:ascii="Times New Roman" w:hAnsi="Times New Roman" w:cs="Times New Roman"/>
          <w:szCs w:val="24"/>
        </w:rPr>
        <w:t xml:space="preserve">Council and the State Prosecutorial Council. </w:t>
      </w:r>
      <w:r w:rsidR="00197833" w:rsidRPr="00600AFD">
        <w:rPr>
          <w:rFonts w:ascii="Times New Roman" w:hAnsi="Times New Roman" w:cs="Times New Roman"/>
          <w:szCs w:val="24"/>
        </w:rPr>
        <w:t>Legal c</w:t>
      </w:r>
      <w:r w:rsidR="00830770" w:rsidRPr="00600AFD">
        <w:rPr>
          <w:rFonts w:ascii="Times New Roman" w:hAnsi="Times New Roman" w:cs="Times New Roman"/>
          <w:szCs w:val="24"/>
        </w:rPr>
        <w:t xml:space="preserve">hanges </w:t>
      </w:r>
      <w:r w:rsidR="00197833" w:rsidRPr="00600AFD">
        <w:rPr>
          <w:rFonts w:ascii="Times New Roman" w:hAnsi="Times New Roman" w:cs="Times New Roman"/>
          <w:szCs w:val="24"/>
        </w:rPr>
        <w:t>and new by</w:t>
      </w:r>
      <w:r w:rsidR="000F3999">
        <w:rPr>
          <w:rFonts w:ascii="Times New Roman" w:hAnsi="Times New Roman" w:cs="Times New Roman"/>
          <w:szCs w:val="24"/>
        </w:rPr>
        <w:t>–</w:t>
      </w:r>
      <w:r w:rsidR="00197833" w:rsidRPr="00600AFD">
        <w:rPr>
          <w:rFonts w:ascii="Times New Roman" w:hAnsi="Times New Roman" w:cs="Times New Roman"/>
          <w:szCs w:val="24"/>
        </w:rPr>
        <w:t>laws</w:t>
      </w:r>
      <w:r w:rsidR="0059195B" w:rsidRPr="00600AFD">
        <w:rPr>
          <w:rFonts w:ascii="Times New Roman" w:hAnsi="Times New Roman" w:cs="Times New Roman"/>
          <w:szCs w:val="24"/>
        </w:rPr>
        <w:t xml:space="preserve"> defined clear, measurable and objective criteria for election and performance </w:t>
      </w:r>
      <w:r w:rsidR="0004754F" w:rsidRPr="00600AFD">
        <w:rPr>
          <w:rFonts w:ascii="Times New Roman" w:hAnsi="Times New Roman" w:cs="Times New Roman"/>
          <w:szCs w:val="24"/>
        </w:rPr>
        <w:t xml:space="preserve">evaluation </w:t>
      </w:r>
      <w:r w:rsidR="00E23BF6" w:rsidRPr="00600AFD">
        <w:rPr>
          <w:rFonts w:ascii="Times New Roman" w:hAnsi="Times New Roman" w:cs="Times New Roman"/>
          <w:szCs w:val="24"/>
        </w:rPr>
        <w:t xml:space="preserve">of judges, public prosecutors and deputy public prosecutors. However, bearing in mind </w:t>
      </w:r>
      <w:r w:rsidR="004558FE" w:rsidRPr="00600AFD">
        <w:rPr>
          <w:rFonts w:ascii="Times New Roman" w:hAnsi="Times New Roman" w:cs="Times New Roman"/>
          <w:szCs w:val="24"/>
        </w:rPr>
        <w:t xml:space="preserve">the future role and position </w:t>
      </w:r>
      <w:r w:rsidR="008B47B1" w:rsidRPr="00600AFD">
        <w:rPr>
          <w:rFonts w:ascii="Times New Roman" w:hAnsi="Times New Roman" w:cs="Times New Roman"/>
          <w:szCs w:val="24"/>
        </w:rPr>
        <w:t>that</w:t>
      </w:r>
      <w:r w:rsidR="004558FE" w:rsidRPr="00600AFD">
        <w:rPr>
          <w:rFonts w:ascii="Times New Roman" w:hAnsi="Times New Roman" w:cs="Times New Roman"/>
          <w:szCs w:val="24"/>
        </w:rPr>
        <w:t xml:space="preserve"> the Judicial Academy should have i</w:t>
      </w:r>
      <w:r w:rsidR="009C4687" w:rsidRPr="00600AFD">
        <w:rPr>
          <w:rFonts w:ascii="Times New Roman" w:hAnsi="Times New Roman" w:cs="Times New Roman"/>
          <w:szCs w:val="24"/>
        </w:rPr>
        <w:t xml:space="preserve">n relation to the preparation of </w:t>
      </w:r>
      <w:r w:rsidR="00D950C5" w:rsidRPr="00600AFD">
        <w:rPr>
          <w:rFonts w:ascii="Times New Roman" w:hAnsi="Times New Roman" w:cs="Times New Roman"/>
          <w:szCs w:val="24"/>
        </w:rPr>
        <w:t xml:space="preserve">personnel </w:t>
      </w:r>
      <w:r w:rsidR="00806095" w:rsidRPr="00600AFD">
        <w:rPr>
          <w:rFonts w:ascii="Times New Roman" w:hAnsi="Times New Roman" w:cs="Times New Roman"/>
          <w:szCs w:val="24"/>
        </w:rPr>
        <w:t xml:space="preserve">for </w:t>
      </w:r>
      <w:r w:rsidR="00022065" w:rsidRPr="00600AFD">
        <w:rPr>
          <w:rFonts w:ascii="Times New Roman" w:hAnsi="Times New Roman" w:cs="Times New Roman"/>
          <w:szCs w:val="24"/>
        </w:rPr>
        <w:t>judicial</w:t>
      </w:r>
      <w:r w:rsidR="00D950C5" w:rsidRPr="00600AFD">
        <w:rPr>
          <w:rFonts w:ascii="Times New Roman" w:hAnsi="Times New Roman" w:cs="Times New Roman"/>
          <w:szCs w:val="24"/>
        </w:rPr>
        <w:t xml:space="preserve"> office, </w:t>
      </w:r>
      <w:r w:rsidR="0019140B" w:rsidRPr="00600AFD">
        <w:rPr>
          <w:rFonts w:ascii="Times New Roman" w:hAnsi="Times New Roman" w:cs="Times New Roman"/>
          <w:szCs w:val="24"/>
        </w:rPr>
        <w:t xml:space="preserve">there is still room for improvement </w:t>
      </w:r>
      <w:r w:rsidR="0011257E" w:rsidRPr="00600AFD">
        <w:rPr>
          <w:rFonts w:ascii="Times New Roman" w:hAnsi="Times New Roman" w:cs="Times New Roman"/>
          <w:szCs w:val="24"/>
        </w:rPr>
        <w:t xml:space="preserve">in accordance with </w:t>
      </w:r>
      <w:r w:rsidR="0001215F" w:rsidRPr="00600AFD">
        <w:rPr>
          <w:rFonts w:ascii="Times New Roman" w:hAnsi="Times New Roman" w:cs="Times New Roman"/>
          <w:szCs w:val="24"/>
        </w:rPr>
        <w:t xml:space="preserve">the new </w:t>
      </w:r>
      <w:r w:rsidR="0019140B" w:rsidRPr="00600AFD">
        <w:rPr>
          <w:rFonts w:ascii="Times New Roman" w:hAnsi="Times New Roman" w:cs="Times New Roman"/>
          <w:szCs w:val="24"/>
        </w:rPr>
        <w:t>c</w:t>
      </w:r>
      <w:r w:rsidR="0001215F" w:rsidRPr="00600AFD">
        <w:rPr>
          <w:rFonts w:ascii="Times New Roman" w:hAnsi="Times New Roman" w:cs="Times New Roman"/>
          <w:szCs w:val="24"/>
        </w:rPr>
        <w:t xml:space="preserve">onstitutional and legal provisions. </w:t>
      </w:r>
    </w:p>
    <w:p w14:paraId="09487F2A" w14:textId="656045B4" w:rsidR="00807902" w:rsidRPr="00600AFD" w:rsidRDefault="0001215F" w:rsidP="00973719">
      <w:pPr>
        <w:spacing w:line="276" w:lineRule="auto"/>
        <w:rPr>
          <w:rFonts w:ascii="Times New Roman" w:hAnsi="Times New Roman" w:cs="Times New Roman"/>
          <w:szCs w:val="24"/>
        </w:rPr>
      </w:pPr>
      <w:r w:rsidRPr="00600AFD">
        <w:rPr>
          <w:rFonts w:ascii="Times New Roman" w:hAnsi="Times New Roman" w:cs="Times New Roman"/>
          <w:szCs w:val="24"/>
        </w:rPr>
        <w:t xml:space="preserve">In order to </w:t>
      </w:r>
      <w:r w:rsidR="00996F3E" w:rsidRPr="00600AFD">
        <w:rPr>
          <w:rFonts w:ascii="Times New Roman" w:hAnsi="Times New Roman" w:cs="Times New Roman"/>
          <w:szCs w:val="24"/>
        </w:rPr>
        <w:t>make further progress and overcome constraints posed by the existing constitutional framework</w:t>
      </w:r>
      <w:r w:rsidR="00AE4134" w:rsidRPr="00600AFD">
        <w:rPr>
          <w:rFonts w:ascii="Times New Roman" w:hAnsi="Times New Roman" w:cs="Times New Roman"/>
          <w:szCs w:val="24"/>
        </w:rPr>
        <w:t xml:space="preserve">, as well as provide for </w:t>
      </w:r>
      <w:r w:rsidR="0019140B" w:rsidRPr="00600AFD">
        <w:rPr>
          <w:rFonts w:ascii="Times New Roman" w:hAnsi="Times New Roman" w:cs="Times New Roman"/>
          <w:szCs w:val="24"/>
        </w:rPr>
        <w:t>the fulfillment</w:t>
      </w:r>
      <w:r w:rsidR="00265CB2" w:rsidRPr="00600AFD">
        <w:rPr>
          <w:rFonts w:ascii="Times New Roman" w:hAnsi="Times New Roman" w:cs="Times New Roman"/>
          <w:szCs w:val="24"/>
        </w:rPr>
        <w:t xml:space="preserve"> of the Chapter 23 interim benchmarks</w:t>
      </w:r>
      <w:r w:rsidR="00582E14" w:rsidRPr="00600AFD">
        <w:rPr>
          <w:rFonts w:ascii="Times New Roman" w:hAnsi="Times New Roman" w:cs="Times New Roman"/>
          <w:szCs w:val="24"/>
        </w:rPr>
        <w:t xml:space="preserve">, </w:t>
      </w:r>
      <w:r w:rsidR="00133C3C" w:rsidRPr="00600AFD">
        <w:rPr>
          <w:rFonts w:ascii="Times New Roman" w:hAnsi="Times New Roman" w:cs="Times New Roman"/>
          <w:szCs w:val="24"/>
        </w:rPr>
        <w:t>the Republic of Serbia initiated a process of constitutional changes</w:t>
      </w:r>
      <w:r w:rsidR="000B0EC1" w:rsidRPr="00600AFD">
        <w:rPr>
          <w:rFonts w:ascii="Times New Roman" w:hAnsi="Times New Roman" w:cs="Times New Roman"/>
          <w:szCs w:val="24"/>
        </w:rPr>
        <w:t xml:space="preserve">. </w:t>
      </w:r>
      <w:r w:rsidR="006232D6" w:rsidRPr="00600AFD">
        <w:rPr>
          <w:rFonts w:ascii="Times New Roman" w:hAnsi="Times New Roman" w:cs="Times New Roman"/>
          <w:szCs w:val="24"/>
        </w:rPr>
        <w:t xml:space="preserve">The aim of these </w:t>
      </w:r>
      <w:r w:rsidR="001F6E4B" w:rsidRPr="00600AFD">
        <w:rPr>
          <w:rFonts w:ascii="Times New Roman" w:hAnsi="Times New Roman" w:cs="Times New Roman"/>
          <w:szCs w:val="24"/>
        </w:rPr>
        <w:t xml:space="preserve">new constitutional </w:t>
      </w:r>
      <w:r w:rsidR="006232D6" w:rsidRPr="00600AFD">
        <w:rPr>
          <w:rFonts w:ascii="Times New Roman" w:hAnsi="Times New Roman" w:cs="Times New Roman"/>
          <w:szCs w:val="24"/>
        </w:rPr>
        <w:t>changes in the part concerning the judiciary</w:t>
      </w:r>
      <w:r w:rsidR="001F6E4B" w:rsidRPr="00600AFD">
        <w:rPr>
          <w:rFonts w:ascii="Times New Roman" w:hAnsi="Times New Roman" w:cs="Times New Roman"/>
          <w:szCs w:val="24"/>
        </w:rPr>
        <w:t>, that would be followed</w:t>
      </w:r>
      <w:r w:rsidR="006232D6" w:rsidRPr="00600AFD">
        <w:rPr>
          <w:rFonts w:ascii="Times New Roman" w:hAnsi="Times New Roman" w:cs="Times New Roman"/>
          <w:szCs w:val="24"/>
        </w:rPr>
        <w:t xml:space="preserve"> with relevant regulations</w:t>
      </w:r>
      <w:r w:rsidR="00700EF6" w:rsidRPr="00600AFD">
        <w:rPr>
          <w:rFonts w:ascii="Times New Roman" w:hAnsi="Times New Roman" w:cs="Times New Roman"/>
          <w:szCs w:val="24"/>
        </w:rPr>
        <w:t xml:space="preserve"> as well</w:t>
      </w:r>
      <w:r w:rsidR="006232D6" w:rsidRPr="00600AFD">
        <w:rPr>
          <w:rFonts w:ascii="Times New Roman" w:hAnsi="Times New Roman" w:cs="Times New Roman"/>
          <w:szCs w:val="24"/>
        </w:rPr>
        <w:t>,</w:t>
      </w:r>
      <w:r w:rsidR="00700EF6" w:rsidRPr="00600AFD">
        <w:rPr>
          <w:rFonts w:ascii="Times New Roman" w:hAnsi="Times New Roman" w:cs="Times New Roman"/>
          <w:szCs w:val="24"/>
        </w:rPr>
        <w:t xml:space="preserve"> is</w:t>
      </w:r>
      <w:r w:rsidR="006232D6" w:rsidRPr="00600AFD">
        <w:rPr>
          <w:rFonts w:ascii="Times New Roman" w:hAnsi="Times New Roman" w:cs="Times New Roman"/>
          <w:szCs w:val="24"/>
        </w:rPr>
        <w:t xml:space="preserve"> to establish a system of selection, nomination, election, transfer and termination of office </w:t>
      </w:r>
      <w:r w:rsidR="00617DCE" w:rsidRPr="00600AFD">
        <w:rPr>
          <w:rFonts w:ascii="Times New Roman" w:hAnsi="Times New Roman" w:cs="Times New Roman"/>
          <w:szCs w:val="24"/>
        </w:rPr>
        <w:t>for</w:t>
      </w:r>
      <w:r w:rsidR="006232D6" w:rsidRPr="00600AFD">
        <w:rPr>
          <w:rFonts w:ascii="Times New Roman" w:hAnsi="Times New Roman" w:cs="Times New Roman"/>
          <w:szCs w:val="24"/>
        </w:rPr>
        <w:t xml:space="preserve"> judges, </w:t>
      </w:r>
      <w:r w:rsidR="00617DCE" w:rsidRPr="00600AFD">
        <w:rPr>
          <w:rFonts w:ascii="Times New Roman" w:hAnsi="Times New Roman" w:cs="Times New Roman"/>
          <w:szCs w:val="24"/>
        </w:rPr>
        <w:t xml:space="preserve">court </w:t>
      </w:r>
      <w:r w:rsidR="006232D6" w:rsidRPr="00600AFD">
        <w:rPr>
          <w:rFonts w:ascii="Times New Roman" w:hAnsi="Times New Roman" w:cs="Times New Roman"/>
          <w:szCs w:val="24"/>
        </w:rPr>
        <w:t>presidents and public prosecutors</w:t>
      </w:r>
      <w:r w:rsidR="00374E8A" w:rsidRPr="00600AFD">
        <w:rPr>
          <w:rFonts w:ascii="Times New Roman" w:hAnsi="Times New Roman" w:cs="Times New Roman"/>
          <w:szCs w:val="24"/>
        </w:rPr>
        <w:t xml:space="preserve"> /</w:t>
      </w:r>
      <w:r w:rsidR="006232D6" w:rsidRPr="00600AFD">
        <w:rPr>
          <w:rFonts w:ascii="Times New Roman" w:hAnsi="Times New Roman" w:cs="Times New Roman"/>
          <w:szCs w:val="24"/>
        </w:rPr>
        <w:t xml:space="preserve"> deputy public </w:t>
      </w:r>
      <w:r w:rsidR="006232D6" w:rsidRPr="00600AFD">
        <w:rPr>
          <w:rFonts w:ascii="Times New Roman" w:hAnsi="Times New Roman" w:cs="Times New Roman"/>
          <w:szCs w:val="24"/>
        </w:rPr>
        <w:lastRenderedPageBreak/>
        <w:t xml:space="preserve">prosecutors, which impedes political influence. </w:t>
      </w:r>
      <w:r w:rsidR="00D35451" w:rsidRPr="00600AFD">
        <w:rPr>
          <w:rFonts w:ascii="Times New Roman" w:eastAsia="Calibri" w:hAnsi="Times New Roman" w:cs="Times New Roman"/>
          <w:szCs w:val="24"/>
        </w:rPr>
        <w:t>The constitutional changes should lay the foundation in these key segments for raising the level of independence and accountability of judiciary, which is also a requirement stemming from the Chapter 23 Action Plan. In addition, it is necessary to strengthen the position and role of the Judicial Academy as a mechanism for entry into the judiciary based on the results achieved, and through a transparent procedure.</w:t>
      </w:r>
    </w:p>
    <w:p w14:paraId="000E5D1D" w14:textId="082E2450" w:rsidR="005E09D9" w:rsidRPr="00600AFD" w:rsidRDefault="005E09D9" w:rsidP="005E09D9">
      <w:pPr>
        <w:spacing w:line="276" w:lineRule="auto"/>
        <w:rPr>
          <w:rFonts w:ascii="Times New Roman" w:hAnsi="Times New Roman" w:cs="Times New Roman"/>
          <w:szCs w:val="24"/>
        </w:rPr>
      </w:pPr>
      <w:r w:rsidRPr="00600AFD">
        <w:rPr>
          <w:rFonts w:ascii="Times New Roman" w:hAnsi="Times New Roman" w:cs="Times New Roman"/>
          <w:szCs w:val="24"/>
        </w:rPr>
        <w:t>Upon the completion of the process of amending  the Constitution, in the part pertaining to the judiciary, it will be necessary to carry out harmonization of laws and by</w:t>
      </w:r>
      <w:r w:rsidR="000F3999">
        <w:rPr>
          <w:rFonts w:ascii="Times New Roman" w:hAnsi="Times New Roman" w:cs="Times New Roman"/>
          <w:szCs w:val="24"/>
        </w:rPr>
        <w:t>–</w:t>
      </w:r>
      <w:r w:rsidRPr="00600AFD">
        <w:rPr>
          <w:rFonts w:ascii="Times New Roman" w:hAnsi="Times New Roman" w:cs="Times New Roman"/>
          <w:szCs w:val="24"/>
        </w:rPr>
        <w:t xml:space="preserve">laws to specify the role of the High </w:t>
      </w:r>
      <w:r w:rsidR="00456F7A" w:rsidRPr="00600AFD">
        <w:rPr>
          <w:rFonts w:ascii="Times New Roman" w:hAnsi="Times New Roman" w:cs="Times New Roman"/>
          <w:szCs w:val="24"/>
        </w:rPr>
        <w:t xml:space="preserve">Court </w:t>
      </w:r>
      <w:r w:rsidRPr="00600AFD">
        <w:rPr>
          <w:rFonts w:ascii="Times New Roman" w:hAnsi="Times New Roman" w:cs="Times New Roman"/>
          <w:szCs w:val="24"/>
        </w:rPr>
        <w:t xml:space="preserve">Council and the State Prosecutorial Council with respect to all issues under their respective competences, to continue further strengthening the capacities of these bodies in order to strengthen independence of courts and judges, as well as autonomy of public prosecutors and deputy public prosecutors, in accordance with the Council of Europe’s standards. </w:t>
      </w:r>
    </w:p>
    <w:p w14:paraId="4216DBCB" w14:textId="706D640A" w:rsidR="005E09D9" w:rsidRPr="00600AFD" w:rsidRDefault="005E09D9" w:rsidP="005E09D9">
      <w:pPr>
        <w:spacing w:line="276" w:lineRule="auto"/>
        <w:rPr>
          <w:rFonts w:ascii="Times New Roman" w:hAnsi="Times New Roman" w:cs="Times New Roman"/>
          <w:szCs w:val="24"/>
        </w:rPr>
      </w:pPr>
      <w:r w:rsidRPr="00600AFD">
        <w:rPr>
          <w:rFonts w:ascii="Times New Roman" w:hAnsi="Times New Roman" w:cs="Times New Roman"/>
          <w:szCs w:val="24"/>
        </w:rPr>
        <w:t>Previous strengthening of competence</w:t>
      </w:r>
      <w:r w:rsidR="000F3999">
        <w:rPr>
          <w:rFonts w:ascii="Times New Roman" w:hAnsi="Times New Roman" w:cs="Times New Roman"/>
          <w:szCs w:val="24"/>
        </w:rPr>
        <w:t>–</w:t>
      </w:r>
      <w:r w:rsidRPr="00600AFD">
        <w:rPr>
          <w:rFonts w:ascii="Times New Roman" w:hAnsi="Times New Roman" w:cs="Times New Roman"/>
          <w:szCs w:val="24"/>
        </w:rPr>
        <w:t xml:space="preserve">related and analytical capacities of the High </w:t>
      </w:r>
      <w:r w:rsidR="00456F7A" w:rsidRPr="00600AFD">
        <w:rPr>
          <w:rFonts w:ascii="Times New Roman" w:hAnsi="Times New Roman" w:cs="Times New Roman"/>
          <w:szCs w:val="24"/>
        </w:rPr>
        <w:t xml:space="preserve">Court </w:t>
      </w:r>
      <w:r w:rsidRPr="00600AFD">
        <w:rPr>
          <w:rFonts w:ascii="Times New Roman" w:hAnsi="Times New Roman" w:cs="Times New Roman"/>
          <w:szCs w:val="24"/>
        </w:rPr>
        <w:t>Council and the State Prosecutorial Council and defining of new job</w:t>
      </w:r>
      <w:r w:rsidR="00F60B2D" w:rsidRPr="00600AFD">
        <w:rPr>
          <w:rFonts w:ascii="Times New Roman" w:hAnsi="Times New Roman" w:cs="Times New Roman"/>
          <w:szCs w:val="24"/>
        </w:rPr>
        <w:t xml:space="preserve"> positions</w:t>
      </w:r>
      <w:r w:rsidRPr="00600AFD">
        <w:rPr>
          <w:rFonts w:ascii="Times New Roman" w:hAnsi="Times New Roman" w:cs="Times New Roman"/>
          <w:szCs w:val="24"/>
        </w:rPr>
        <w:t xml:space="preserve"> and titles in administrative offices, have created conditions for their functional operation. Additional efforts should be made to define accurately the division of competencies among the Ministry of Justice, the High </w:t>
      </w:r>
      <w:r w:rsidR="00456F7A" w:rsidRPr="00600AFD">
        <w:rPr>
          <w:rFonts w:ascii="Times New Roman" w:hAnsi="Times New Roman" w:cs="Times New Roman"/>
          <w:szCs w:val="24"/>
        </w:rPr>
        <w:t xml:space="preserve">Court </w:t>
      </w:r>
      <w:r w:rsidRPr="00600AFD">
        <w:rPr>
          <w:rFonts w:ascii="Times New Roman" w:hAnsi="Times New Roman" w:cs="Times New Roman"/>
          <w:szCs w:val="24"/>
        </w:rPr>
        <w:t>Council, the State Prosecutorial Council, the Supreme Court of Cassation, and the Republic Public Prosecutor’s Office.</w:t>
      </w:r>
    </w:p>
    <w:p w14:paraId="1E7020FE" w14:textId="249D3D9E" w:rsidR="00E02E89" w:rsidRPr="00600AFD" w:rsidRDefault="00772C7F" w:rsidP="00973719">
      <w:pPr>
        <w:spacing w:line="276" w:lineRule="auto"/>
        <w:rPr>
          <w:rFonts w:ascii="Times New Roman" w:hAnsi="Times New Roman" w:cs="Times New Roman"/>
          <w:szCs w:val="24"/>
        </w:rPr>
      </w:pPr>
      <w:r w:rsidRPr="00600AFD">
        <w:rPr>
          <w:rFonts w:ascii="Times New Roman" w:hAnsi="Times New Roman" w:cs="Times New Roman"/>
          <w:szCs w:val="24"/>
        </w:rPr>
        <w:t xml:space="preserve">The proposed amendments to the constitutional provisions </w:t>
      </w:r>
      <w:r w:rsidR="00AC3291" w:rsidRPr="00600AFD">
        <w:rPr>
          <w:rFonts w:ascii="Times New Roman" w:hAnsi="Times New Roman" w:cs="Times New Roman"/>
          <w:szCs w:val="24"/>
        </w:rPr>
        <w:t>envisage a greater and more autonomous role for judicial and prosecutorial assistants</w:t>
      </w:r>
      <w:r w:rsidR="00B2203F" w:rsidRPr="00600AFD">
        <w:rPr>
          <w:rFonts w:ascii="Times New Roman" w:hAnsi="Times New Roman" w:cs="Times New Roman"/>
          <w:szCs w:val="24"/>
        </w:rPr>
        <w:t>, respectively,</w:t>
      </w:r>
      <w:r w:rsidR="00AC3291" w:rsidRPr="00600AFD">
        <w:rPr>
          <w:rFonts w:ascii="Times New Roman" w:hAnsi="Times New Roman" w:cs="Times New Roman"/>
          <w:szCs w:val="24"/>
        </w:rPr>
        <w:t xml:space="preserve"> </w:t>
      </w:r>
      <w:r w:rsidR="003B335A" w:rsidRPr="00600AFD">
        <w:rPr>
          <w:rFonts w:ascii="Times New Roman" w:hAnsi="Times New Roman" w:cs="Times New Roman"/>
          <w:szCs w:val="24"/>
        </w:rPr>
        <w:t>based on</w:t>
      </w:r>
      <w:r w:rsidR="00674E3C" w:rsidRPr="00600AFD">
        <w:rPr>
          <w:rFonts w:ascii="Times New Roman" w:hAnsi="Times New Roman" w:cs="Times New Roman"/>
          <w:szCs w:val="24"/>
        </w:rPr>
        <w:t xml:space="preserve"> which they would be granted clear competencies and responsibilities </w:t>
      </w:r>
      <w:r w:rsidR="00702AC8" w:rsidRPr="00600AFD">
        <w:rPr>
          <w:rFonts w:ascii="Times New Roman" w:hAnsi="Times New Roman" w:cs="Times New Roman"/>
          <w:szCs w:val="24"/>
        </w:rPr>
        <w:t xml:space="preserve">in accordance with the needs of the judicial system. </w:t>
      </w:r>
      <w:r w:rsidR="00342F93" w:rsidRPr="00600AFD">
        <w:rPr>
          <w:rFonts w:ascii="Times New Roman" w:hAnsi="Times New Roman" w:cs="Times New Roman"/>
          <w:szCs w:val="24"/>
        </w:rPr>
        <w:t xml:space="preserve">Therefore, </w:t>
      </w:r>
      <w:proofErr w:type="gramStart"/>
      <w:r w:rsidR="00EC2B49" w:rsidRPr="00600AFD">
        <w:rPr>
          <w:rFonts w:ascii="Times New Roman" w:hAnsi="Times New Roman" w:cs="Times New Roman"/>
          <w:szCs w:val="24"/>
        </w:rPr>
        <w:t>with regard to</w:t>
      </w:r>
      <w:proofErr w:type="gramEnd"/>
      <w:r w:rsidR="00EC2B49" w:rsidRPr="00600AFD">
        <w:rPr>
          <w:rFonts w:ascii="Times New Roman" w:hAnsi="Times New Roman" w:cs="Times New Roman"/>
          <w:szCs w:val="24"/>
        </w:rPr>
        <w:t xml:space="preserve"> this aspect</w:t>
      </w:r>
      <w:r w:rsidR="007813F1" w:rsidRPr="00600AFD">
        <w:rPr>
          <w:rFonts w:ascii="Times New Roman" w:hAnsi="Times New Roman" w:cs="Times New Roman"/>
          <w:szCs w:val="24"/>
        </w:rPr>
        <w:t xml:space="preserve">, particular attention should be paid </w:t>
      </w:r>
      <w:r w:rsidR="007C2295" w:rsidRPr="00600AFD">
        <w:rPr>
          <w:rFonts w:ascii="Times New Roman" w:hAnsi="Times New Roman" w:cs="Times New Roman"/>
          <w:szCs w:val="24"/>
        </w:rPr>
        <w:t xml:space="preserve">to </w:t>
      </w:r>
      <w:r w:rsidR="008D692C" w:rsidRPr="00600AFD">
        <w:rPr>
          <w:rFonts w:ascii="Times New Roman" w:hAnsi="Times New Roman" w:cs="Times New Roman"/>
          <w:szCs w:val="24"/>
        </w:rPr>
        <w:t>the defining the role and position of judicial and prosecutorial assistants</w:t>
      </w:r>
      <w:r w:rsidR="009868D6" w:rsidRPr="00600AFD">
        <w:rPr>
          <w:rFonts w:ascii="Times New Roman" w:hAnsi="Times New Roman" w:cs="Times New Roman"/>
          <w:szCs w:val="24"/>
        </w:rPr>
        <w:t xml:space="preserve">, with a view to establishing </w:t>
      </w:r>
      <w:r w:rsidR="00161B82" w:rsidRPr="00600AFD">
        <w:rPr>
          <w:rFonts w:ascii="Times New Roman" w:hAnsi="Times New Roman" w:cs="Times New Roman"/>
          <w:szCs w:val="24"/>
        </w:rPr>
        <w:t xml:space="preserve">a separate judicial profession and </w:t>
      </w:r>
      <w:r w:rsidR="00E57D4F" w:rsidRPr="00600AFD">
        <w:rPr>
          <w:rFonts w:ascii="Times New Roman" w:hAnsi="Times New Roman" w:cs="Times New Roman"/>
          <w:szCs w:val="24"/>
        </w:rPr>
        <w:t xml:space="preserve">the system for their </w:t>
      </w:r>
      <w:r w:rsidR="00161B82" w:rsidRPr="00600AFD">
        <w:rPr>
          <w:rFonts w:ascii="Times New Roman" w:hAnsi="Times New Roman" w:cs="Times New Roman"/>
          <w:szCs w:val="24"/>
        </w:rPr>
        <w:t>career development.</w:t>
      </w:r>
    </w:p>
    <w:p w14:paraId="4EAE5FED" w14:textId="29926464" w:rsidR="0003663E" w:rsidRPr="00600AFD" w:rsidRDefault="00EC5B00" w:rsidP="000A4E98">
      <w:pPr>
        <w:spacing w:after="240" w:line="276" w:lineRule="auto"/>
        <w:rPr>
          <w:rFonts w:ascii="Times New Roman" w:hAnsi="Times New Roman" w:cs="Times New Roman"/>
          <w:szCs w:val="24"/>
        </w:rPr>
      </w:pPr>
      <w:r w:rsidRPr="00600AFD">
        <w:rPr>
          <w:rFonts w:ascii="Times New Roman" w:hAnsi="Times New Roman" w:cs="Times New Roman"/>
          <w:szCs w:val="24"/>
        </w:rPr>
        <w:t xml:space="preserve">To accomplish </w:t>
      </w:r>
      <w:r w:rsidR="00D978F3" w:rsidRPr="00600AFD">
        <w:rPr>
          <w:rFonts w:ascii="Times New Roman" w:hAnsi="Times New Roman" w:cs="Times New Roman"/>
          <w:szCs w:val="24"/>
        </w:rPr>
        <w:t xml:space="preserve">the </w:t>
      </w:r>
      <w:r w:rsidR="0030580D" w:rsidRPr="00600AFD">
        <w:rPr>
          <w:rFonts w:ascii="Times New Roman" w:hAnsi="Times New Roman" w:cs="Times New Roman"/>
          <w:szCs w:val="24"/>
        </w:rPr>
        <w:t xml:space="preserve">specific </w:t>
      </w:r>
      <w:r w:rsidR="00D978F3" w:rsidRPr="00600AFD">
        <w:rPr>
          <w:rFonts w:ascii="Times New Roman" w:hAnsi="Times New Roman" w:cs="Times New Roman"/>
          <w:szCs w:val="24"/>
        </w:rPr>
        <w:t>objective</w:t>
      </w:r>
      <w:r w:rsidR="0030580D" w:rsidRPr="00600AFD">
        <w:rPr>
          <w:rFonts w:ascii="Times New Roman" w:hAnsi="Times New Roman" w:cs="Times New Roman"/>
          <w:szCs w:val="24"/>
        </w:rPr>
        <w:t xml:space="preserve"> 1</w:t>
      </w:r>
      <w:r w:rsidR="00347BE1" w:rsidRPr="00600AFD">
        <w:rPr>
          <w:rFonts w:ascii="Times New Roman" w:hAnsi="Times New Roman" w:cs="Times New Roman"/>
          <w:szCs w:val="24"/>
        </w:rPr>
        <w:t xml:space="preserve"> </w:t>
      </w:r>
      <w:r w:rsidR="00D978F3" w:rsidRPr="00600AFD">
        <w:rPr>
          <w:rFonts w:ascii="Times New Roman" w:hAnsi="Times New Roman" w:cs="Times New Roman"/>
          <w:szCs w:val="24"/>
        </w:rPr>
        <w:t xml:space="preserve">which is reflected in </w:t>
      </w:r>
      <w:r w:rsidR="00D978F3" w:rsidRPr="00600AFD">
        <w:rPr>
          <w:rFonts w:ascii="Times New Roman" w:hAnsi="Times New Roman" w:cs="Times New Roman"/>
          <w:i/>
          <w:szCs w:val="24"/>
        </w:rPr>
        <w:t xml:space="preserve">further advancement of the normative framework and </w:t>
      </w:r>
      <w:r w:rsidR="00841450" w:rsidRPr="00600AFD">
        <w:rPr>
          <w:rFonts w:ascii="Times New Roman" w:hAnsi="Times New Roman" w:cs="Times New Roman"/>
          <w:i/>
          <w:szCs w:val="24"/>
        </w:rPr>
        <w:t xml:space="preserve">the </w:t>
      </w:r>
      <w:r w:rsidR="00D978F3" w:rsidRPr="00600AFD">
        <w:rPr>
          <w:rFonts w:ascii="Times New Roman" w:hAnsi="Times New Roman" w:cs="Times New Roman"/>
          <w:i/>
          <w:szCs w:val="24"/>
        </w:rPr>
        <w:t xml:space="preserve">strengthening of institutional mechanisms </w:t>
      </w:r>
      <w:r w:rsidR="002C1623" w:rsidRPr="00600AFD">
        <w:rPr>
          <w:rFonts w:ascii="Times New Roman" w:hAnsi="Times New Roman" w:cs="Times New Roman"/>
          <w:i/>
          <w:szCs w:val="24"/>
        </w:rPr>
        <w:t xml:space="preserve">providing for a judicial system in which </w:t>
      </w:r>
      <w:r w:rsidR="009460AF" w:rsidRPr="00600AFD">
        <w:rPr>
          <w:rFonts w:ascii="Times New Roman" w:hAnsi="Times New Roman" w:cs="Times New Roman"/>
          <w:i/>
          <w:szCs w:val="24"/>
        </w:rPr>
        <w:t xml:space="preserve">judicial institutions and judicial office holders are free </w:t>
      </w:r>
      <w:r w:rsidR="001B5BED" w:rsidRPr="00600AFD">
        <w:rPr>
          <w:rFonts w:ascii="Times New Roman" w:hAnsi="Times New Roman" w:cs="Times New Roman"/>
          <w:i/>
          <w:szCs w:val="24"/>
        </w:rPr>
        <w:t xml:space="preserve">in their work </w:t>
      </w:r>
      <w:r w:rsidR="009460AF" w:rsidRPr="00600AFD">
        <w:rPr>
          <w:rFonts w:ascii="Times New Roman" w:hAnsi="Times New Roman" w:cs="Times New Roman"/>
          <w:i/>
          <w:szCs w:val="24"/>
        </w:rPr>
        <w:t>from any improper or illicit influence</w:t>
      </w:r>
      <w:r w:rsidR="001B5BED" w:rsidRPr="00600AFD">
        <w:rPr>
          <w:rFonts w:ascii="Times New Roman" w:hAnsi="Times New Roman" w:cs="Times New Roman"/>
          <w:i/>
          <w:szCs w:val="24"/>
        </w:rPr>
        <w:t xml:space="preserve"> and pressure </w:t>
      </w:r>
      <w:r w:rsidR="00991E9C" w:rsidRPr="00600AFD">
        <w:rPr>
          <w:rFonts w:ascii="Times New Roman" w:hAnsi="Times New Roman" w:cs="Times New Roman"/>
          <w:i/>
          <w:szCs w:val="24"/>
        </w:rPr>
        <w:t>that</w:t>
      </w:r>
      <w:r w:rsidR="001B5BED" w:rsidRPr="00600AFD">
        <w:rPr>
          <w:rFonts w:ascii="Times New Roman" w:hAnsi="Times New Roman" w:cs="Times New Roman"/>
          <w:i/>
          <w:szCs w:val="24"/>
        </w:rPr>
        <w:t xml:space="preserve"> would interfere with the administration of justice</w:t>
      </w:r>
      <w:r w:rsidR="00E11AA3" w:rsidRPr="00600AFD">
        <w:rPr>
          <w:rFonts w:ascii="Times New Roman" w:hAnsi="Times New Roman" w:cs="Times New Roman"/>
          <w:i/>
          <w:szCs w:val="24"/>
        </w:rPr>
        <w:t xml:space="preserve">, as well as </w:t>
      </w:r>
      <w:r w:rsidR="003974C8" w:rsidRPr="00600AFD">
        <w:rPr>
          <w:rFonts w:ascii="Times New Roman" w:hAnsi="Times New Roman" w:cs="Times New Roman"/>
          <w:i/>
          <w:szCs w:val="24"/>
        </w:rPr>
        <w:t xml:space="preserve">in </w:t>
      </w:r>
      <w:r w:rsidR="00E11AA3" w:rsidRPr="00600AFD">
        <w:rPr>
          <w:rFonts w:ascii="Times New Roman" w:hAnsi="Times New Roman" w:cs="Times New Roman"/>
          <w:i/>
          <w:szCs w:val="24"/>
        </w:rPr>
        <w:t xml:space="preserve">that the judicial institutions must be </w:t>
      </w:r>
      <w:r w:rsidR="007F4F99" w:rsidRPr="00600AFD">
        <w:rPr>
          <w:rFonts w:ascii="Times New Roman" w:hAnsi="Times New Roman" w:cs="Times New Roman"/>
          <w:i/>
          <w:szCs w:val="24"/>
        </w:rPr>
        <w:t xml:space="preserve">free from any political and other influence of the legislative and executive authorities in the </w:t>
      </w:r>
      <w:r w:rsidR="00841450" w:rsidRPr="00600AFD">
        <w:rPr>
          <w:rFonts w:ascii="Times New Roman" w:hAnsi="Times New Roman" w:cs="Times New Roman"/>
          <w:i/>
          <w:szCs w:val="24"/>
        </w:rPr>
        <w:t>procedure of selection, election, transfer and termination of office,</w:t>
      </w:r>
      <w:r w:rsidR="0064230D" w:rsidRPr="00600AFD">
        <w:rPr>
          <w:rFonts w:ascii="Times New Roman" w:hAnsi="Times New Roman" w:cs="Times New Roman"/>
          <w:i/>
          <w:szCs w:val="24"/>
        </w:rPr>
        <w:t xml:space="preserve"> </w:t>
      </w:r>
      <w:r w:rsidR="0064230D" w:rsidRPr="00600AFD">
        <w:rPr>
          <w:rFonts w:ascii="Times New Roman" w:hAnsi="Times New Roman" w:cs="Times New Roman"/>
          <w:szCs w:val="24"/>
        </w:rPr>
        <w:t xml:space="preserve">it is necessary to carry out the following measures: </w:t>
      </w:r>
    </w:p>
    <w:tbl>
      <w:tblPr>
        <w:tblStyle w:val="TableGrid"/>
        <w:tblW w:w="0" w:type="auto"/>
        <w:tblLook w:val="04A0" w:firstRow="1" w:lastRow="0" w:firstColumn="1" w:lastColumn="0" w:noHBand="0" w:noVBand="1"/>
      </w:tblPr>
      <w:tblGrid>
        <w:gridCol w:w="756"/>
        <w:gridCol w:w="8594"/>
      </w:tblGrid>
      <w:tr w:rsidR="009218C5" w:rsidRPr="00600AFD" w14:paraId="2C8F3403" w14:textId="77777777" w:rsidTr="00FF37BC">
        <w:tc>
          <w:tcPr>
            <w:tcW w:w="625" w:type="dxa"/>
            <w:shd w:val="clear" w:color="auto" w:fill="D9E2F3" w:themeFill="accent1" w:themeFillTint="33"/>
          </w:tcPr>
          <w:p w14:paraId="12A2F505" w14:textId="5254A3D6" w:rsidR="009218C5"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t>1.</w:t>
            </w:r>
          </w:p>
        </w:tc>
        <w:tc>
          <w:tcPr>
            <w:tcW w:w="8725" w:type="dxa"/>
          </w:tcPr>
          <w:p w14:paraId="109E8634" w14:textId="77777777" w:rsidR="009218C5" w:rsidRPr="00600AFD" w:rsidRDefault="0064230D" w:rsidP="00765F2E">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Completion of </w:t>
            </w:r>
            <w:r w:rsidR="00687ED7" w:rsidRPr="00600AFD">
              <w:rPr>
                <w:rFonts w:ascii="Times New Roman" w:hAnsi="Times New Roman" w:cs="Times New Roman"/>
                <w:szCs w:val="24"/>
              </w:rPr>
              <w:t xml:space="preserve">the procedure of </w:t>
            </w:r>
            <w:r w:rsidR="004D7D7E" w:rsidRPr="00600AFD">
              <w:rPr>
                <w:rFonts w:ascii="Times New Roman" w:hAnsi="Times New Roman" w:cs="Times New Roman"/>
                <w:szCs w:val="24"/>
              </w:rPr>
              <w:t xml:space="preserve">amending </w:t>
            </w:r>
            <w:r w:rsidR="00C95C13" w:rsidRPr="00600AFD">
              <w:rPr>
                <w:rFonts w:ascii="Times New Roman" w:hAnsi="Times New Roman" w:cs="Times New Roman"/>
                <w:szCs w:val="24"/>
              </w:rPr>
              <w:t xml:space="preserve">the Constitution in the part pertaining to the </w:t>
            </w:r>
            <w:r w:rsidR="0080694B" w:rsidRPr="00600AFD">
              <w:rPr>
                <w:rFonts w:ascii="Times New Roman" w:hAnsi="Times New Roman" w:cs="Times New Roman"/>
                <w:szCs w:val="24"/>
              </w:rPr>
              <w:t>judiciary</w:t>
            </w:r>
            <w:r w:rsidR="00C95C13" w:rsidRPr="00600AFD">
              <w:rPr>
                <w:rFonts w:ascii="Times New Roman" w:hAnsi="Times New Roman" w:cs="Times New Roman"/>
                <w:szCs w:val="24"/>
              </w:rPr>
              <w:t xml:space="preserve"> </w:t>
            </w:r>
            <w:r w:rsidR="00765F2E" w:rsidRPr="00600AFD">
              <w:rPr>
                <w:rFonts w:ascii="Times New Roman" w:hAnsi="Times New Roman" w:cs="Times New Roman"/>
                <w:szCs w:val="24"/>
              </w:rPr>
              <w:t>with a view towards</w:t>
            </w:r>
            <w:r w:rsidR="00C95C13" w:rsidRPr="00600AFD">
              <w:rPr>
                <w:rFonts w:ascii="Times New Roman" w:hAnsi="Times New Roman" w:cs="Times New Roman"/>
                <w:szCs w:val="24"/>
              </w:rPr>
              <w:t xml:space="preserve"> further strengthening </w:t>
            </w:r>
            <w:r w:rsidR="00414AA9" w:rsidRPr="00600AFD">
              <w:rPr>
                <w:rFonts w:ascii="Times New Roman" w:hAnsi="Times New Roman" w:cs="Times New Roman"/>
                <w:szCs w:val="24"/>
              </w:rPr>
              <w:t xml:space="preserve">of independence </w:t>
            </w:r>
            <w:r w:rsidR="00823C00" w:rsidRPr="00600AFD">
              <w:rPr>
                <w:rFonts w:ascii="Times New Roman" w:hAnsi="Times New Roman" w:cs="Times New Roman"/>
                <w:szCs w:val="24"/>
              </w:rPr>
              <w:t xml:space="preserve">of courts </w:t>
            </w:r>
            <w:r w:rsidR="00414AA9" w:rsidRPr="00600AFD">
              <w:rPr>
                <w:rFonts w:ascii="Times New Roman" w:hAnsi="Times New Roman" w:cs="Times New Roman"/>
                <w:szCs w:val="24"/>
              </w:rPr>
              <w:t xml:space="preserve">and autonomy of </w:t>
            </w:r>
            <w:r w:rsidR="005E2D40" w:rsidRPr="00600AFD">
              <w:rPr>
                <w:rFonts w:ascii="Times New Roman" w:hAnsi="Times New Roman" w:cs="Times New Roman"/>
                <w:szCs w:val="24"/>
              </w:rPr>
              <w:t xml:space="preserve">public prosecutors’ offices </w:t>
            </w:r>
            <w:r w:rsidR="00414AA9" w:rsidRPr="00600AFD">
              <w:rPr>
                <w:rFonts w:ascii="Times New Roman" w:hAnsi="Times New Roman" w:cs="Times New Roman"/>
                <w:szCs w:val="24"/>
              </w:rPr>
              <w:t>in accordance with the European standards</w:t>
            </w:r>
            <w:r w:rsidR="00765F2E" w:rsidRPr="00600AFD">
              <w:rPr>
                <w:rFonts w:ascii="Times New Roman" w:hAnsi="Times New Roman" w:cs="Times New Roman"/>
                <w:szCs w:val="24"/>
              </w:rPr>
              <w:t>, especially those of the Ven</w:t>
            </w:r>
            <w:r w:rsidR="00174561" w:rsidRPr="00600AFD">
              <w:rPr>
                <w:rFonts w:ascii="Times New Roman" w:hAnsi="Times New Roman" w:cs="Times New Roman"/>
                <w:szCs w:val="24"/>
              </w:rPr>
              <w:t>ice</w:t>
            </w:r>
            <w:r w:rsidR="00765F2E" w:rsidRPr="00600AFD">
              <w:rPr>
                <w:rFonts w:ascii="Times New Roman" w:hAnsi="Times New Roman" w:cs="Times New Roman"/>
                <w:szCs w:val="24"/>
              </w:rPr>
              <w:t xml:space="preserve"> Commission</w:t>
            </w:r>
            <w:r w:rsidR="009218C5" w:rsidRPr="00600AFD">
              <w:rPr>
                <w:rFonts w:ascii="Times New Roman" w:hAnsi="Times New Roman" w:cs="Times New Roman"/>
                <w:szCs w:val="24"/>
              </w:rPr>
              <w:t>;</w:t>
            </w:r>
          </w:p>
        </w:tc>
      </w:tr>
      <w:tr w:rsidR="001C6A24" w:rsidRPr="00600AFD" w14:paraId="59847E1E" w14:textId="77777777" w:rsidTr="00FF37BC">
        <w:tc>
          <w:tcPr>
            <w:tcW w:w="625" w:type="dxa"/>
            <w:shd w:val="clear" w:color="auto" w:fill="D9E2F3" w:themeFill="accent1" w:themeFillTint="33"/>
          </w:tcPr>
          <w:p w14:paraId="0CCB16A2" w14:textId="1D225EA4" w:rsidR="001C6A24"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t>2.</w:t>
            </w:r>
          </w:p>
        </w:tc>
        <w:tc>
          <w:tcPr>
            <w:tcW w:w="8725" w:type="dxa"/>
          </w:tcPr>
          <w:p w14:paraId="662FF986" w14:textId="5C053960" w:rsidR="001C6A24" w:rsidRPr="00600AFD" w:rsidRDefault="00AF63CA" w:rsidP="00765F2E">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Further </w:t>
            </w:r>
            <w:r w:rsidR="00A13CAE" w:rsidRPr="00600AFD">
              <w:rPr>
                <w:rFonts w:ascii="Times New Roman" w:hAnsi="Times New Roman" w:cs="Times New Roman"/>
                <w:szCs w:val="24"/>
              </w:rPr>
              <w:t>delineation</w:t>
            </w:r>
            <w:r w:rsidR="0025107B" w:rsidRPr="00600AFD">
              <w:rPr>
                <w:rFonts w:ascii="Times New Roman" w:hAnsi="Times New Roman" w:cs="Times New Roman"/>
                <w:szCs w:val="24"/>
              </w:rPr>
              <w:t xml:space="preserve"> and </w:t>
            </w:r>
            <w:r w:rsidR="00EA5B66" w:rsidRPr="00600AFD">
              <w:rPr>
                <w:rFonts w:ascii="Times New Roman" w:hAnsi="Times New Roman" w:cs="Times New Roman"/>
                <w:szCs w:val="24"/>
              </w:rPr>
              <w:t xml:space="preserve">specification of competencies </w:t>
            </w:r>
            <w:r w:rsidR="00C60687" w:rsidRPr="00600AFD">
              <w:rPr>
                <w:rFonts w:ascii="Times New Roman" w:hAnsi="Times New Roman" w:cs="Times New Roman"/>
                <w:szCs w:val="24"/>
              </w:rPr>
              <w:t>of the High Court Council, the State Prosecutorial Council</w:t>
            </w:r>
            <w:r w:rsidR="00174561" w:rsidRPr="00600AFD">
              <w:rPr>
                <w:rFonts w:ascii="Times New Roman" w:hAnsi="Times New Roman" w:cs="Times New Roman"/>
                <w:szCs w:val="24"/>
              </w:rPr>
              <w:t>,</w:t>
            </w:r>
            <w:r w:rsidR="00C60687" w:rsidRPr="00600AFD">
              <w:rPr>
                <w:rFonts w:ascii="Times New Roman" w:hAnsi="Times New Roman" w:cs="Times New Roman"/>
                <w:szCs w:val="24"/>
              </w:rPr>
              <w:t xml:space="preserve"> and the Ministry of Justice </w:t>
            </w:r>
            <w:r w:rsidR="00FE3C23" w:rsidRPr="00600AFD">
              <w:rPr>
                <w:rFonts w:ascii="Times New Roman" w:hAnsi="Times New Roman" w:cs="Times New Roman"/>
                <w:szCs w:val="24"/>
              </w:rPr>
              <w:t xml:space="preserve">designed to strengthen the </w:t>
            </w:r>
            <w:r w:rsidR="00FE3C23" w:rsidRPr="00600AFD">
              <w:rPr>
                <w:rFonts w:ascii="Times New Roman" w:hAnsi="Times New Roman" w:cs="Times New Roman"/>
                <w:szCs w:val="24"/>
              </w:rPr>
              <w:lastRenderedPageBreak/>
              <w:t xml:space="preserve">independence of </w:t>
            </w:r>
            <w:r w:rsidR="00032763" w:rsidRPr="00600AFD">
              <w:rPr>
                <w:rFonts w:ascii="Times New Roman" w:hAnsi="Times New Roman" w:cs="Times New Roman"/>
                <w:szCs w:val="24"/>
              </w:rPr>
              <w:t>courts and the autonomy of prosecutors’ offices in organizational and budget</w:t>
            </w:r>
            <w:r w:rsidR="000F3999">
              <w:rPr>
                <w:rFonts w:ascii="Times New Roman" w:hAnsi="Times New Roman" w:cs="Times New Roman"/>
                <w:szCs w:val="24"/>
              </w:rPr>
              <w:t>–</w:t>
            </w:r>
            <w:r w:rsidR="00032763" w:rsidRPr="00600AFD">
              <w:rPr>
                <w:rFonts w:ascii="Times New Roman" w:hAnsi="Times New Roman" w:cs="Times New Roman"/>
                <w:szCs w:val="24"/>
              </w:rPr>
              <w:t xml:space="preserve">related terms; </w:t>
            </w:r>
            <w:r w:rsidR="00A13CAE" w:rsidRPr="00600AFD">
              <w:rPr>
                <w:rFonts w:ascii="Times New Roman" w:hAnsi="Times New Roman" w:cs="Times New Roman"/>
                <w:szCs w:val="24"/>
              </w:rPr>
              <w:t xml:space="preserve"> </w:t>
            </w:r>
          </w:p>
        </w:tc>
      </w:tr>
      <w:tr w:rsidR="009218C5" w:rsidRPr="00600AFD" w14:paraId="58F54D2E" w14:textId="77777777" w:rsidTr="00FF37BC">
        <w:tc>
          <w:tcPr>
            <w:tcW w:w="625" w:type="dxa"/>
            <w:shd w:val="clear" w:color="auto" w:fill="D9E2F3" w:themeFill="accent1" w:themeFillTint="33"/>
          </w:tcPr>
          <w:p w14:paraId="4AE72914" w14:textId="2451AF0D" w:rsidR="009218C5"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lastRenderedPageBreak/>
              <w:t>3.</w:t>
            </w:r>
          </w:p>
        </w:tc>
        <w:tc>
          <w:tcPr>
            <w:tcW w:w="8725" w:type="dxa"/>
          </w:tcPr>
          <w:p w14:paraId="211FB87D" w14:textId="21156BCD" w:rsidR="009218C5" w:rsidRPr="00600AFD" w:rsidRDefault="00414AA9" w:rsidP="009218C5">
            <w:pPr>
              <w:spacing w:line="276" w:lineRule="auto"/>
              <w:rPr>
                <w:rFonts w:ascii="Times New Roman" w:hAnsi="Times New Roman" w:cs="Times New Roman"/>
                <w:szCs w:val="24"/>
              </w:rPr>
            </w:pPr>
            <w:r w:rsidRPr="00600AFD">
              <w:rPr>
                <w:rFonts w:ascii="Times New Roman" w:hAnsi="Times New Roman" w:cs="Times New Roman"/>
                <w:szCs w:val="24"/>
              </w:rPr>
              <w:t>Harmonization of judici</w:t>
            </w:r>
            <w:r w:rsidR="00E37C51" w:rsidRPr="00600AFD">
              <w:rPr>
                <w:rFonts w:ascii="Times New Roman" w:hAnsi="Times New Roman" w:cs="Times New Roman"/>
                <w:szCs w:val="24"/>
              </w:rPr>
              <w:t>al laws and by</w:t>
            </w:r>
            <w:r w:rsidR="000F3999">
              <w:rPr>
                <w:rFonts w:ascii="Times New Roman" w:hAnsi="Times New Roman" w:cs="Times New Roman"/>
                <w:szCs w:val="24"/>
              </w:rPr>
              <w:t>–</w:t>
            </w:r>
            <w:r w:rsidR="00E37C51" w:rsidRPr="00600AFD">
              <w:rPr>
                <w:rFonts w:ascii="Times New Roman" w:hAnsi="Times New Roman" w:cs="Times New Roman"/>
                <w:szCs w:val="24"/>
              </w:rPr>
              <w:t>laws with the new constitutional and legal provisions</w:t>
            </w:r>
            <w:r w:rsidR="00E919D8" w:rsidRPr="00600AFD">
              <w:rPr>
                <w:rFonts w:ascii="Times New Roman" w:hAnsi="Times New Roman" w:cs="Times New Roman"/>
                <w:szCs w:val="24"/>
              </w:rPr>
              <w:t xml:space="preserve">; </w:t>
            </w:r>
          </w:p>
        </w:tc>
      </w:tr>
      <w:tr w:rsidR="009218C5" w:rsidRPr="00600AFD" w14:paraId="587C4711" w14:textId="77777777" w:rsidTr="00FF37BC">
        <w:tc>
          <w:tcPr>
            <w:tcW w:w="625" w:type="dxa"/>
            <w:shd w:val="clear" w:color="auto" w:fill="D9E2F3" w:themeFill="accent1" w:themeFillTint="33"/>
          </w:tcPr>
          <w:p w14:paraId="559EB946" w14:textId="7D42478F" w:rsidR="009218C5"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t>4.</w:t>
            </w:r>
          </w:p>
        </w:tc>
        <w:tc>
          <w:tcPr>
            <w:tcW w:w="8725" w:type="dxa"/>
          </w:tcPr>
          <w:p w14:paraId="45368AEC" w14:textId="77777777" w:rsidR="009218C5" w:rsidRPr="00600AFD" w:rsidRDefault="00E919D8" w:rsidP="00FF37BC">
            <w:pPr>
              <w:spacing w:after="120" w:line="276" w:lineRule="auto"/>
              <w:rPr>
                <w:rFonts w:ascii="Times New Roman" w:hAnsi="Times New Roman" w:cs="Times New Roman"/>
                <w:szCs w:val="24"/>
              </w:rPr>
            </w:pPr>
            <w:r w:rsidRPr="00600AFD">
              <w:rPr>
                <w:rFonts w:ascii="Times New Roman" w:hAnsi="Times New Roman" w:cs="Times New Roman"/>
                <w:szCs w:val="24"/>
              </w:rPr>
              <w:t>Advancement of the institutional framework in accordance with the new constitutional and legal provisions and relevant analyses</w:t>
            </w:r>
            <w:r w:rsidR="009218C5" w:rsidRPr="00600AFD">
              <w:rPr>
                <w:rFonts w:ascii="Times New Roman" w:hAnsi="Times New Roman" w:cs="Times New Roman"/>
                <w:szCs w:val="24"/>
              </w:rPr>
              <w:t>;</w:t>
            </w:r>
          </w:p>
        </w:tc>
      </w:tr>
      <w:tr w:rsidR="009218C5" w:rsidRPr="00600AFD" w14:paraId="401D7163" w14:textId="77777777" w:rsidTr="00FF37BC">
        <w:tc>
          <w:tcPr>
            <w:tcW w:w="625" w:type="dxa"/>
            <w:shd w:val="clear" w:color="auto" w:fill="D9E2F3" w:themeFill="accent1" w:themeFillTint="33"/>
          </w:tcPr>
          <w:p w14:paraId="32BF2E05" w14:textId="369156A6" w:rsidR="009218C5"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t>5.</w:t>
            </w:r>
          </w:p>
        </w:tc>
        <w:tc>
          <w:tcPr>
            <w:tcW w:w="8725" w:type="dxa"/>
          </w:tcPr>
          <w:p w14:paraId="6B553D4C" w14:textId="77777777" w:rsidR="009218C5" w:rsidRPr="00600AFD" w:rsidRDefault="00E919D8" w:rsidP="007F136C">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Consistent </w:t>
            </w:r>
            <w:r w:rsidR="00540123" w:rsidRPr="00600AFD">
              <w:rPr>
                <w:rFonts w:ascii="Times New Roman" w:hAnsi="Times New Roman" w:cs="Times New Roman"/>
                <w:szCs w:val="24"/>
              </w:rPr>
              <w:t xml:space="preserve">implementation and supervision of </w:t>
            </w:r>
            <w:r w:rsidR="001A550B" w:rsidRPr="00600AFD">
              <w:rPr>
                <w:rFonts w:ascii="Times New Roman" w:hAnsi="Times New Roman" w:cs="Times New Roman"/>
                <w:szCs w:val="24"/>
              </w:rPr>
              <w:t xml:space="preserve">the impact </w:t>
            </w:r>
            <w:r w:rsidR="007A5850" w:rsidRPr="00600AFD">
              <w:rPr>
                <w:rFonts w:ascii="Times New Roman" w:hAnsi="Times New Roman" w:cs="Times New Roman"/>
                <w:szCs w:val="24"/>
              </w:rPr>
              <w:t xml:space="preserve">of </w:t>
            </w:r>
            <w:r w:rsidR="00540123" w:rsidRPr="00600AFD">
              <w:rPr>
                <w:rFonts w:ascii="Times New Roman" w:hAnsi="Times New Roman" w:cs="Times New Roman"/>
                <w:szCs w:val="24"/>
              </w:rPr>
              <w:t xml:space="preserve">application </w:t>
            </w:r>
            <w:r w:rsidR="00AB58A7" w:rsidRPr="00600AFD">
              <w:rPr>
                <w:rFonts w:ascii="Times New Roman" w:hAnsi="Times New Roman" w:cs="Times New Roman"/>
                <w:szCs w:val="24"/>
              </w:rPr>
              <w:t xml:space="preserve">of judicial laws amended in accordance with the new constitutional provisions; </w:t>
            </w:r>
          </w:p>
        </w:tc>
      </w:tr>
      <w:tr w:rsidR="009218C5" w:rsidRPr="00600AFD" w14:paraId="335F3B58" w14:textId="77777777" w:rsidTr="00FF37BC">
        <w:tc>
          <w:tcPr>
            <w:tcW w:w="625" w:type="dxa"/>
            <w:shd w:val="clear" w:color="auto" w:fill="D9E2F3" w:themeFill="accent1" w:themeFillTint="33"/>
          </w:tcPr>
          <w:p w14:paraId="4493C8A5" w14:textId="4ACF7B17" w:rsidR="009218C5"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t>6.</w:t>
            </w:r>
          </w:p>
        </w:tc>
        <w:tc>
          <w:tcPr>
            <w:tcW w:w="8725" w:type="dxa"/>
          </w:tcPr>
          <w:p w14:paraId="74852812" w14:textId="77950F0D" w:rsidR="009218C5" w:rsidRPr="00600AFD" w:rsidRDefault="00AB58A7" w:rsidP="0080694B">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Further advancement of </w:t>
            </w:r>
            <w:r w:rsidR="0045398A" w:rsidRPr="00600AFD">
              <w:rPr>
                <w:rFonts w:ascii="Times New Roman" w:hAnsi="Times New Roman" w:cs="Times New Roman"/>
                <w:szCs w:val="24"/>
              </w:rPr>
              <w:t xml:space="preserve">competencies and capabilities of the </w:t>
            </w:r>
            <w:r w:rsidR="007A5850" w:rsidRPr="00600AFD">
              <w:rPr>
                <w:rFonts w:ascii="Times New Roman" w:hAnsi="Times New Roman" w:cs="Times New Roman"/>
                <w:szCs w:val="24"/>
              </w:rPr>
              <w:t xml:space="preserve">employees </w:t>
            </w:r>
            <w:r w:rsidR="00D03381" w:rsidRPr="00600AFD">
              <w:rPr>
                <w:rFonts w:ascii="Times New Roman" w:hAnsi="Times New Roman" w:cs="Times New Roman"/>
                <w:szCs w:val="24"/>
              </w:rPr>
              <w:t xml:space="preserve">in </w:t>
            </w:r>
            <w:r w:rsidR="00DB2C63" w:rsidRPr="00600AFD">
              <w:rPr>
                <w:rFonts w:ascii="Times New Roman" w:hAnsi="Times New Roman" w:cs="Times New Roman"/>
                <w:szCs w:val="24"/>
              </w:rPr>
              <w:t>administrative</w:t>
            </w:r>
            <w:r w:rsidR="00D03381" w:rsidRPr="00600AFD">
              <w:rPr>
                <w:rFonts w:ascii="Times New Roman" w:hAnsi="Times New Roman" w:cs="Times New Roman"/>
                <w:szCs w:val="24"/>
              </w:rPr>
              <w:t xml:space="preserve"> offices of the </w:t>
            </w:r>
            <w:r w:rsidR="0045398A" w:rsidRPr="00600AFD">
              <w:rPr>
                <w:rFonts w:ascii="Times New Roman" w:hAnsi="Times New Roman" w:cs="Times New Roman"/>
                <w:szCs w:val="24"/>
              </w:rPr>
              <w:t xml:space="preserve">High </w:t>
            </w:r>
            <w:r w:rsidR="00D60333" w:rsidRPr="00600AFD">
              <w:rPr>
                <w:rFonts w:ascii="Times New Roman" w:hAnsi="Times New Roman" w:cs="Times New Roman"/>
                <w:szCs w:val="24"/>
              </w:rPr>
              <w:t>Judicial</w:t>
            </w:r>
            <w:r w:rsidR="00D60333" w:rsidRPr="00600AFD" w:rsidDel="00D60333">
              <w:rPr>
                <w:rFonts w:ascii="Times New Roman" w:hAnsi="Times New Roman" w:cs="Times New Roman"/>
                <w:szCs w:val="24"/>
              </w:rPr>
              <w:t xml:space="preserve"> </w:t>
            </w:r>
            <w:r w:rsidR="0045398A" w:rsidRPr="00600AFD">
              <w:rPr>
                <w:rFonts w:ascii="Times New Roman" w:hAnsi="Times New Roman" w:cs="Times New Roman"/>
                <w:szCs w:val="24"/>
              </w:rPr>
              <w:t xml:space="preserve">Council and the State Prosecutorial Council, as well as other institutions participating </w:t>
            </w:r>
            <w:r w:rsidR="00715F17" w:rsidRPr="00600AFD">
              <w:rPr>
                <w:rFonts w:ascii="Times New Roman" w:hAnsi="Times New Roman" w:cs="Times New Roman"/>
                <w:szCs w:val="24"/>
              </w:rPr>
              <w:t xml:space="preserve">in or contributing to the administration of justice, to the extent and in the manner </w:t>
            </w:r>
            <w:r w:rsidR="00174561" w:rsidRPr="00600AFD">
              <w:rPr>
                <w:rFonts w:ascii="Times New Roman" w:hAnsi="Times New Roman" w:cs="Times New Roman"/>
                <w:szCs w:val="24"/>
              </w:rPr>
              <w:t>that</w:t>
            </w:r>
            <w:r w:rsidR="00715F17" w:rsidRPr="00600AFD">
              <w:rPr>
                <w:rFonts w:ascii="Times New Roman" w:hAnsi="Times New Roman" w:cs="Times New Roman"/>
                <w:szCs w:val="24"/>
              </w:rPr>
              <w:t xml:space="preserve"> ens</w:t>
            </w:r>
            <w:r w:rsidR="00B11541" w:rsidRPr="00600AFD">
              <w:rPr>
                <w:rFonts w:ascii="Times New Roman" w:hAnsi="Times New Roman" w:cs="Times New Roman"/>
                <w:szCs w:val="24"/>
              </w:rPr>
              <w:t xml:space="preserve">ures efficient exercise of competencies </w:t>
            </w:r>
            <w:r w:rsidR="00C51079" w:rsidRPr="00600AFD">
              <w:rPr>
                <w:rFonts w:ascii="Times New Roman" w:hAnsi="Times New Roman" w:cs="Times New Roman"/>
                <w:szCs w:val="24"/>
              </w:rPr>
              <w:t>to full capacity</w:t>
            </w:r>
            <w:r w:rsidR="00751BCE" w:rsidRPr="00600AFD">
              <w:rPr>
                <w:rFonts w:ascii="Times New Roman" w:hAnsi="Times New Roman" w:cs="Times New Roman"/>
                <w:szCs w:val="24"/>
              </w:rPr>
              <w:t xml:space="preserve">, and </w:t>
            </w:r>
            <w:r w:rsidR="00174561" w:rsidRPr="00600AFD">
              <w:rPr>
                <w:rFonts w:ascii="Times New Roman" w:hAnsi="Times New Roman" w:cs="Times New Roman"/>
                <w:szCs w:val="24"/>
              </w:rPr>
              <w:t>that</w:t>
            </w:r>
            <w:r w:rsidR="00751BCE" w:rsidRPr="00600AFD">
              <w:rPr>
                <w:rFonts w:ascii="Times New Roman" w:hAnsi="Times New Roman" w:cs="Times New Roman"/>
                <w:szCs w:val="24"/>
              </w:rPr>
              <w:t xml:space="preserve"> pertain to advancement of the system’s independence and autonomy</w:t>
            </w:r>
            <w:r w:rsidR="00B11541" w:rsidRPr="00600AFD">
              <w:rPr>
                <w:rFonts w:ascii="Times New Roman" w:hAnsi="Times New Roman" w:cs="Times New Roman"/>
                <w:szCs w:val="24"/>
              </w:rPr>
              <w:t>;</w:t>
            </w:r>
          </w:p>
        </w:tc>
      </w:tr>
      <w:tr w:rsidR="009218C5" w:rsidRPr="00600AFD" w14:paraId="1830BCD4" w14:textId="77777777" w:rsidTr="00FF37BC">
        <w:tc>
          <w:tcPr>
            <w:tcW w:w="625" w:type="dxa"/>
            <w:shd w:val="clear" w:color="auto" w:fill="D9E2F3" w:themeFill="accent1" w:themeFillTint="33"/>
          </w:tcPr>
          <w:p w14:paraId="67745BBC" w14:textId="1B949050" w:rsidR="009218C5"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t>7.</w:t>
            </w:r>
          </w:p>
        </w:tc>
        <w:tc>
          <w:tcPr>
            <w:tcW w:w="8725" w:type="dxa"/>
          </w:tcPr>
          <w:p w14:paraId="75F0210C" w14:textId="77777777" w:rsidR="009218C5" w:rsidRPr="00600AFD" w:rsidRDefault="003F2017" w:rsidP="0087708B">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Prescription </w:t>
            </w:r>
            <w:r w:rsidR="00B11541" w:rsidRPr="00600AFD">
              <w:rPr>
                <w:rFonts w:ascii="Times New Roman" w:hAnsi="Times New Roman" w:cs="Times New Roman"/>
                <w:szCs w:val="24"/>
              </w:rPr>
              <w:t xml:space="preserve">of clear and </w:t>
            </w:r>
            <w:r w:rsidR="004B104B" w:rsidRPr="00600AFD">
              <w:rPr>
                <w:rFonts w:ascii="Times New Roman" w:hAnsi="Times New Roman" w:cs="Times New Roman"/>
                <w:szCs w:val="24"/>
              </w:rPr>
              <w:t xml:space="preserve">uniform criteria </w:t>
            </w:r>
            <w:proofErr w:type="gramStart"/>
            <w:r w:rsidR="00B15ED4" w:rsidRPr="00600AFD">
              <w:rPr>
                <w:rFonts w:ascii="Times New Roman" w:hAnsi="Times New Roman" w:cs="Times New Roman"/>
                <w:szCs w:val="24"/>
              </w:rPr>
              <w:t>with regard to</w:t>
            </w:r>
            <w:proofErr w:type="gramEnd"/>
            <w:r w:rsidR="00B15ED4" w:rsidRPr="00600AFD">
              <w:rPr>
                <w:rFonts w:ascii="Times New Roman" w:hAnsi="Times New Roman" w:cs="Times New Roman"/>
                <w:szCs w:val="24"/>
              </w:rPr>
              <w:t xml:space="preserve"> the election and promotion of judicial/prosecutorial assistants </w:t>
            </w:r>
            <w:r w:rsidR="00E725C2" w:rsidRPr="00600AFD">
              <w:rPr>
                <w:rFonts w:ascii="Times New Roman" w:hAnsi="Times New Roman" w:cs="Times New Roman"/>
                <w:szCs w:val="24"/>
              </w:rPr>
              <w:t xml:space="preserve">aimed at </w:t>
            </w:r>
            <w:r w:rsidR="006C39C5" w:rsidRPr="00600AFD">
              <w:rPr>
                <w:rFonts w:ascii="Times New Roman" w:hAnsi="Times New Roman" w:cs="Times New Roman"/>
                <w:szCs w:val="24"/>
              </w:rPr>
              <w:t xml:space="preserve">establishing a </w:t>
            </w:r>
            <w:r w:rsidR="006A7542" w:rsidRPr="00600AFD">
              <w:rPr>
                <w:rFonts w:ascii="Times New Roman" w:hAnsi="Times New Roman" w:cs="Times New Roman"/>
                <w:szCs w:val="24"/>
              </w:rPr>
              <w:t xml:space="preserve">system of </w:t>
            </w:r>
            <w:r w:rsidR="00830EE5" w:rsidRPr="00600AFD">
              <w:rPr>
                <w:rFonts w:ascii="Times New Roman" w:hAnsi="Times New Roman" w:cs="Times New Roman"/>
                <w:szCs w:val="24"/>
              </w:rPr>
              <w:t>career advancement</w:t>
            </w:r>
            <w:r w:rsidR="00E725C2" w:rsidRPr="00600AFD">
              <w:rPr>
                <w:rFonts w:ascii="Times New Roman" w:hAnsi="Times New Roman" w:cs="Times New Roman"/>
                <w:szCs w:val="24"/>
              </w:rPr>
              <w:t xml:space="preserve"> and a separate profession.</w:t>
            </w:r>
          </w:p>
        </w:tc>
      </w:tr>
      <w:tr w:rsidR="00441B4D" w:rsidRPr="00600AFD" w14:paraId="0BE2D2D6" w14:textId="77777777" w:rsidTr="00FF37BC">
        <w:tc>
          <w:tcPr>
            <w:tcW w:w="625" w:type="dxa"/>
            <w:shd w:val="clear" w:color="auto" w:fill="D9E2F3" w:themeFill="accent1" w:themeFillTint="33"/>
          </w:tcPr>
          <w:p w14:paraId="20C8C10C" w14:textId="384C7D94" w:rsidR="00441B4D" w:rsidRPr="00B560CB" w:rsidRDefault="00B560CB" w:rsidP="00B560CB">
            <w:pPr>
              <w:spacing w:after="120" w:line="276" w:lineRule="auto"/>
              <w:ind w:left="360"/>
              <w:rPr>
                <w:rFonts w:ascii="Times New Roman" w:hAnsi="Times New Roman" w:cs="Times New Roman"/>
                <w:szCs w:val="24"/>
                <w:lang w:val="sr-Cyrl-RS"/>
              </w:rPr>
            </w:pPr>
            <w:r>
              <w:rPr>
                <w:rFonts w:ascii="Times New Roman" w:hAnsi="Times New Roman" w:cs="Times New Roman"/>
                <w:szCs w:val="24"/>
                <w:lang w:val="sr-Cyrl-RS"/>
              </w:rPr>
              <w:t>8.</w:t>
            </w:r>
          </w:p>
        </w:tc>
        <w:tc>
          <w:tcPr>
            <w:tcW w:w="8725" w:type="dxa"/>
          </w:tcPr>
          <w:p w14:paraId="50A2AD65" w14:textId="687F4282" w:rsidR="000541C2" w:rsidRPr="00600AFD" w:rsidRDefault="00441B4D" w:rsidP="00824127">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Creation of </w:t>
            </w:r>
            <w:r w:rsidR="00824127" w:rsidRPr="00600AFD">
              <w:rPr>
                <w:rFonts w:ascii="Times New Roman" w:hAnsi="Times New Roman" w:cs="Times New Roman"/>
                <w:szCs w:val="24"/>
              </w:rPr>
              <w:t>adequate</w:t>
            </w:r>
            <w:r w:rsidRPr="00600AFD">
              <w:rPr>
                <w:rFonts w:ascii="Times New Roman" w:hAnsi="Times New Roman" w:cs="Times New Roman"/>
                <w:szCs w:val="24"/>
              </w:rPr>
              <w:t xml:space="preserve"> normative framework for further advancement of the Judicial Academy’s independence and strengthening of its capacities, with the aim of </w:t>
            </w:r>
            <w:r w:rsidR="00824127" w:rsidRPr="00600AFD">
              <w:rPr>
                <w:rFonts w:ascii="Times New Roman" w:hAnsi="Times New Roman" w:cs="Times New Roman"/>
                <w:szCs w:val="24"/>
              </w:rPr>
              <w:t>efficient delivery of its competences in full capacity.</w:t>
            </w:r>
          </w:p>
        </w:tc>
      </w:tr>
    </w:tbl>
    <w:p w14:paraId="2FD7DCA3" w14:textId="77777777" w:rsidR="000541C2" w:rsidRDefault="000541C2" w:rsidP="000541C2">
      <w:pPr>
        <w:keepNext/>
        <w:spacing w:before="360" w:after="360" w:line="259" w:lineRule="auto"/>
        <w:ind w:left="5660"/>
        <w:jc w:val="left"/>
        <w:outlineLvl w:val="0"/>
        <w:rPr>
          <w:rFonts w:ascii="Times New Roman" w:eastAsia="Calibri" w:hAnsi="Times New Roman" w:cs="Times New Roman"/>
          <w:b/>
          <w:szCs w:val="24"/>
          <w:highlight w:val="lightGray"/>
        </w:rPr>
      </w:pPr>
      <w:bookmarkStart w:id="7" w:name="_Toc39707750"/>
    </w:p>
    <w:p w14:paraId="107BE3BD" w14:textId="77777777" w:rsidR="000541C2" w:rsidRDefault="000541C2">
      <w:pPr>
        <w:spacing w:line="259" w:lineRule="auto"/>
        <w:jc w:val="left"/>
        <w:rPr>
          <w:rFonts w:ascii="Times New Roman" w:eastAsia="Calibri" w:hAnsi="Times New Roman" w:cs="Times New Roman"/>
          <w:b/>
          <w:szCs w:val="24"/>
          <w:highlight w:val="lightGray"/>
        </w:rPr>
      </w:pPr>
      <w:r>
        <w:rPr>
          <w:rFonts w:ascii="Times New Roman" w:eastAsia="Calibri" w:hAnsi="Times New Roman" w:cs="Times New Roman"/>
          <w:b/>
          <w:szCs w:val="24"/>
          <w:highlight w:val="lightGray"/>
        </w:rPr>
        <w:br w:type="page"/>
      </w:r>
    </w:p>
    <w:p w14:paraId="17BF18BD" w14:textId="22CC42C5" w:rsidR="0087783D" w:rsidRPr="000541C2" w:rsidRDefault="0087783D" w:rsidP="000541C2">
      <w:pPr>
        <w:pStyle w:val="Heading1"/>
        <w:numPr>
          <w:ilvl w:val="1"/>
          <w:numId w:val="5"/>
        </w:numPr>
        <w:rPr>
          <w:rFonts w:ascii="Times New Roman" w:hAnsi="Times New Roman"/>
          <w:b/>
          <w:sz w:val="24"/>
        </w:rPr>
      </w:pPr>
      <w:r w:rsidRPr="000541C2">
        <w:rPr>
          <w:rFonts w:ascii="Times New Roman" w:hAnsi="Times New Roman"/>
          <w:b/>
          <w:sz w:val="24"/>
        </w:rPr>
        <w:lastRenderedPageBreak/>
        <w:t>I</w:t>
      </w:r>
      <w:r w:rsidR="002A4D29" w:rsidRPr="000541C2">
        <w:rPr>
          <w:rFonts w:ascii="Times New Roman" w:hAnsi="Times New Roman"/>
          <w:b/>
          <w:sz w:val="24"/>
        </w:rPr>
        <w:t>mpartiality and accountability of judiciary</w:t>
      </w:r>
      <w:bookmarkEnd w:id="7"/>
    </w:p>
    <w:p w14:paraId="1924B898" w14:textId="56D032B0"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The need to establish a balance between the guarantee of independence of the judiciary/judges</w:t>
      </w:r>
      <w:r w:rsidR="00E97ED3" w:rsidRPr="00600AFD">
        <w:rPr>
          <w:rFonts w:ascii="Times New Roman" w:eastAsia="Calibri" w:hAnsi="Times New Roman" w:cs="Times New Roman"/>
          <w:szCs w:val="24"/>
        </w:rPr>
        <w:t xml:space="preserve"> and</w:t>
      </w:r>
      <w:r w:rsidRPr="00600AFD">
        <w:rPr>
          <w:rFonts w:ascii="Times New Roman" w:eastAsia="Calibri" w:hAnsi="Times New Roman" w:cs="Times New Roman"/>
          <w:szCs w:val="24"/>
        </w:rPr>
        <w:t xml:space="preserve"> the autonomy of the public prosecutor’s office/prosecutors and the mechanisms that ensure decisions of judicial authorities are made in accordance with the principle of impartiality, and </w:t>
      </w:r>
      <w:r w:rsidR="008B2CC0" w:rsidRPr="00600AFD">
        <w:rPr>
          <w:rFonts w:ascii="Times New Roman" w:eastAsia="Calibri" w:hAnsi="Times New Roman" w:cs="Times New Roman"/>
          <w:szCs w:val="24"/>
        </w:rPr>
        <w:t xml:space="preserve">judicial office </w:t>
      </w:r>
      <w:r w:rsidRPr="00600AFD">
        <w:rPr>
          <w:rFonts w:ascii="Times New Roman" w:eastAsia="Calibri" w:hAnsi="Times New Roman" w:cs="Times New Roman"/>
          <w:szCs w:val="24"/>
        </w:rPr>
        <w:t>holders</w:t>
      </w:r>
      <w:r w:rsidR="00CE1D2F"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are accountable for their work, are proclaimed by an entire series of international documents.</w:t>
      </w:r>
    </w:p>
    <w:p w14:paraId="30CA5FF5" w14:textId="77777777" w:rsidR="0087783D" w:rsidRPr="00600AFD" w:rsidRDefault="0087783D" w:rsidP="0087783D">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The UN Basic Principles on the Independence of the Judiciary oblige judges to “always </w:t>
      </w:r>
      <w:r w:rsidRPr="00600AFD">
        <w:rPr>
          <w:rFonts w:ascii="Times New Roman" w:eastAsia="Calibri" w:hAnsi="Times New Roman" w:cs="Times New Roman"/>
          <w:szCs w:val="24"/>
          <w:shd w:val="clear" w:color="auto" w:fill="FFFFFF"/>
        </w:rPr>
        <w:t>conduct themselves in such a manner as to preserve the dignity of their office and the impartiality and independence of the judiciary</w:t>
      </w:r>
      <w:r w:rsidRPr="00600AFD">
        <w:rPr>
          <w:rFonts w:ascii="Times New Roman" w:eastAsia="Calibri" w:hAnsi="Times New Roman" w:cs="Times New Roman"/>
          <w:szCs w:val="24"/>
        </w:rPr>
        <w:t>” (Principle 8).</w:t>
      </w:r>
      <w:r w:rsidRPr="00600AFD">
        <w:rPr>
          <w:rFonts w:ascii="Times New Roman" w:eastAsia="Calibri" w:hAnsi="Times New Roman" w:cs="Times New Roman"/>
          <w:bCs/>
          <w:szCs w:val="24"/>
          <w:vertAlign w:val="superscript"/>
        </w:rPr>
        <w:footnoteReference w:id="22"/>
      </w:r>
      <w:r w:rsidRPr="00600AFD">
        <w:rPr>
          <w:rFonts w:ascii="Times New Roman" w:eastAsia="Calibri" w:hAnsi="Times New Roman" w:cs="Times New Roman"/>
          <w:szCs w:val="24"/>
        </w:rPr>
        <w:t xml:space="preserve"> Accordingly, they also envisage an appropriate procedure in which the charges and complaints filed against judges “in </w:t>
      </w:r>
      <w:r w:rsidRPr="00600AFD">
        <w:rPr>
          <w:rFonts w:ascii="Times New Roman" w:eastAsia="Calibri" w:hAnsi="Times New Roman" w:cs="Times New Roman"/>
          <w:color w:val="000000"/>
          <w:szCs w:val="24"/>
          <w:shd w:val="clear" w:color="auto" w:fill="FFFFFF"/>
        </w:rPr>
        <w:t>their judicial and professional capacity</w:t>
      </w:r>
      <w:r w:rsidRPr="00600AFD">
        <w:rPr>
          <w:rFonts w:ascii="Times New Roman" w:eastAsia="Calibri" w:hAnsi="Times New Roman" w:cs="Times New Roman"/>
          <w:szCs w:val="24"/>
        </w:rPr>
        <w:t>” will be processe</w:t>
      </w:r>
      <w:r w:rsidR="005311B4" w:rsidRPr="00600AFD">
        <w:rPr>
          <w:rFonts w:ascii="Times New Roman" w:eastAsia="Calibri" w:hAnsi="Times New Roman" w:cs="Times New Roman"/>
          <w:szCs w:val="24"/>
        </w:rPr>
        <w:t>d</w:t>
      </w:r>
      <w:r w:rsidRPr="00600AFD">
        <w:rPr>
          <w:rFonts w:ascii="Times New Roman" w:eastAsia="Calibri" w:hAnsi="Times New Roman" w:cs="Times New Roman"/>
          <w:szCs w:val="24"/>
        </w:rPr>
        <w:t xml:space="preserve"> expeditiously and fairly, while respecting the principle of the rig</w:t>
      </w:r>
      <w:bookmarkStart w:id="8" w:name="_GoBack"/>
      <w:bookmarkEnd w:id="8"/>
      <w:r w:rsidRPr="00600AFD">
        <w:rPr>
          <w:rFonts w:ascii="Times New Roman" w:eastAsia="Calibri" w:hAnsi="Times New Roman" w:cs="Times New Roman"/>
          <w:szCs w:val="24"/>
        </w:rPr>
        <w:t xml:space="preserve">ht to a fair trial and confidentiality at the initial stage unless otherwise requested by the judge (Principle 17). Incapacity and </w:t>
      </w:r>
      <w:r w:rsidRPr="00600AFD">
        <w:rPr>
          <w:rFonts w:ascii="Times New Roman" w:eastAsia="Calibri" w:hAnsi="Times New Roman" w:cs="Times New Roman"/>
          <w:color w:val="000000"/>
          <w:szCs w:val="24"/>
          <w:shd w:val="clear" w:color="auto" w:fill="FFFFFF"/>
        </w:rPr>
        <w:t>behavior of a judge that renders him/her unfit to discharge his/her duties</w:t>
      </w:r>
      <w:r w:rsidRPr="00600AFD">
        <w:rPr>
          <w:rFonts w:ascii="Times New Roman" w:eastAsia="Calibri" w:hAnsi="Times New Roman" w:cs="Times New Roman"/>
          <w:szCs w:val="24"/>
        </w:rPr>
        <w:t xml:space="preserve"> is defined by Principle 18 as the reason for suspension or removal. The Bangalore Principles </w:t>
      </w:r>
      <w:r w:rsidR="0080694B" w:rsidRPr="00600AFD">
        <w:rPr>
          <w:rFonts w:ascii="Times New Roman" w:eastAsia="Calibri" w:hAnsi="Times New Roman" w:cs="Times New Roman"/>
          <w:szCs w:val="24"/>
        </w:rPr>
        <w:t>are structured along</w:t>
      </w:r>
      <w:r w:rsidRPr="00600AFD">
        <w:rPr>
          <w:rFonts w:ascii="Times New Roman" w:eastAsia="Calibri" w:hAnsi="Times New Roman" w:cs="Times New Roman"/>
          <w:szCs w:val="24"/>
        </w:rPr>
        <w:t xml:space="preserve"> the same lines.</w:t>
      </w:r>
      <w:r w:rsidRPr="00600AFD">
        <w:rPr>
          <w:rFonts w:ascii="Times New Roman" w:eastAsia="Calibri" w:hAnsi="Times New Roman" w:cs="Times New Roman"/>
          <w:color w:val="000000"/>
          <w:szCs w:val="24"/>
          <w:shd w:val="clear" w:color="auto" w:fill="FFFFFF"/>
        </w:rPr>
        <w:t xml:space="preserve"> </w:t>
      </w:r>
    </w:p>
    <w:p w14:paraId="5ED01172" w14:textId="0DAE5B2A" w:rsidR="0087783D" w:rsidRPr="00600AFD" w:rsidRDefault="0087783D" w:rsidP="0087783D">
      <w:pPr>
        <w:autoSpaceDE w:val="0"/>
        <w:autoSpaceDN w:val="0"/>
        <w:adjustRightInd w:val="0"/>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The situation with the prosecutors is similar. Namely, the above Opinion of the Consultative Council of Prosecutors no. 9(2014) of 17 December 2014 stipulates that “prosecutors should be autonomous in the process of decision</w:t>
      </w:r>
      <w:r w:rsidR="000F3999">
        <w:rPr>
          <w:rFonts w:ascii="Times New Roman" w:eastAsia="Calibri" w:hAnsi="Times New Roman" w:cs="Times New Roman"/>
          <w:szCs w:val="24"/>
        </w:rPr>
        <w:t>–</w:t>
      </w:r>
      <w:r w:rsidRPr="00600AFD">
        <w:rPr>
          <w:rFonts w:ascii="Times New Roman" w:eastAsia="Calibri" w:hAnsi="Times New Roman" w:cs="Times New Roman"/>
          <w:szCs w:val="24"/>
        </w:rPr>
        <w:t xml:space="preserve">making, performing their duties without external pressure or interference and taking into account the principles of the </w:t>
      </w:r>
      <w:r w:rsidR="0064423E" w:rsidRPr="00600AFD">
        <w:rPr>
          <w:rFonts w:ascii="Times New Roman" w:eastAsia="Calibri" w:hAnsi="Times New Roman" w:cs="Times New Roman"/>
          <w:szCs w:val="24"/>
        </w:rPr>
        <w:t>separation</w:t>
      </w:r>
      <w:r w:rsidRPr="00600AFD">
        <w:rPr>
          <w:rFonts w:ascii="Times New Roman" w:eastAsia="Calibri" w:hAnsi="Times New Roman" w:cs="Times New Roman"/>
          <w:szCs w:val="24"/>
        </w:rPr>
        <w:t xml:space="preserve"> of power</w:t>
      </w:r>
      <w:r w:rsidR="0064423E" w:rsidRPr="00600AFD">
        <w:rPr>
          <w:rFonts w:ascii="Times New Roman" w:eastAsia="Calibri" w:hAnsi="Times New Roman" w:cs="Times New Roman"/>
          <w:szCs w:val="24"/>
        </w:rPr>
        <w:t>s</w:t>
      </w:r>
      <w:r w:rsidRPr="00600AFD">
        <w:rPr>
          <w:rFonts w:ascii="Times New Roman" w:eastAsia="Calibri" w:hAnsi="Times New Roman" w:cs="Times New Roman"/>
          <w:szCs w:val="24"/>
        </w:rPr>
        <w:t xml:space="preserve"> and accountability,” and that “prosecutors should adhere to the highest ethical and professional standards and always act impartially and objectively.”</w:t>
      </w:r>
    </w:p>
    <w:p w14:paraId="6F3A1B47"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Recommendation (2010)12 of the Committee of Ministers of the Council of Europe stipulates that disciplinary proceedings against a judge may be conducted in the event that s/he fails to perform his/her duties in an efficient and appropriate manner (Chapter VII, item 69). A similar provision is contained in the European Charter on the Statute for Judges, which envisages the possibility of disciplinary proceedings carried before a body that is composed of at least fifty percent of judges.</w:t>
      </w:r>
    </w:p>
    <w:p w14:paraId="23355CF8" w14:textId="092214CA" w:rsidR="0087783D" w:rsidRPr="00600AFD" w:rsidRDefault="0087783D" w:rsidP="0087783D">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In addition to disciplinary liability, the Charter also provides for civil liability of judges (paragraph 5.3). Namely, the Charter stipulates that the </w:t>
      </w:r>
      <w:r w:rsidR="007152C9" w:rsidRPr="00600AFD">
        <w:rPr>
          <w:rFonts w:ascii="Times New Roman" w:eastAsia="Calibri" w:hAnsi="Times New Roman" w:cs="Times New Roman"/>
          <w:szCs w:val="24"/>
        </w:rPr>
        <w:t xml:space="preserve">State must guarantee the compensation for harm wrongfully suffered as a result of the decision or the behavior of a judge in the exercise of his or her duties. </w:t>
      </w:r>
      <w:r w:rsidR="00E74822" w:rsidRPr="00600AFD">
        <w:rPr>
          <w:rFonts w:ascii="Times New Roman" w:eastAsia="Calibri" w:hAnsi="Times New Roman" w:cs="Times New Roman"/>
          <w:szCs w:val="24"/>
        </w:rPr>
        <w:t xml:space="preserve">The Charter also allows the State </w:t>
      </w:r>
      <w:r w:rsidR="007152C9" w:rsidRPr="00600AFD">
        <w:rPr>
          <w:rFonts w:ascii="Times New Roman" w:eastAsia="Calibri" w:hAnsi="Times New Roman" w:cs="Times New Roman"/>
          <w:szCs w:val="24"/>
        </w:rPr>
        <w:t>the possibility of applying, within a fixed limit, for reimbursement from the judge by way of legal proceedings in the case of a gross and inexcusable breach of the rules governing the performance of judicial duties</w:t>
      </w:r>
      <w:r w:rsidR="00E74822"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(paragraph 5.2).</w:t>
      </w:r>
      <w:r w:rsidRPr="00600AFD">
        <w:rPr>
          <w:rFonts w:ascii="Times New Roman" w:eastAsia="Calibri" w:hAnsi="Times New Roman" w:cs="Times New Roman"/>
          <w:color w:val="000000"/>
          <w:spacing w:val="-3"/>
          <w:szCs w:val="24"/>
        </w:rPr>
        <w:t xml:space="preserve"> </w:t>
      </w:r>
    </w:p>
    <w:p w14:paraId="513C5868" w14:textId="77777777" w:rsidR="0087783D" w:rsidRPr="00600AFD" w:rsidRDefault="0087783D" w:rsidP="0087783D">
      <w:pPr>
        <w:autoSpaceDE w:val="0"/>
        <w:autoSpaceDN w:val="0"/>
        <w:adjustRightInd w:val="0"/>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Recommendation of the Committee of Ministers of the Council of Europe on the role of public prosecutors in the criminal justice system (2000)19 stipulated, </w:t>
      </w:r>
      <w:r w:rsidRPr="00600AFD">
        <w:rPr>
          <w:rFonts w:ascii="Times New Roman" w:eastAsia="Calibri" w:hAnsi="Times New Roman" w:cs="Times New Roman"/>
          <w:i/>
          <w:szCs w:val="24"/>
        </w:rPr>
        <w:t>inter alia</w:t>
      </w:r>
      <w:r w:rsidRPr="00600AFD">
        <w:rPr>
          <w:rFonts w:ascii="Times New Roman" w:eastAsia="Calibri" w:hAnsi="Times New Roman" w:cs="Times New Roman"/>
          <w:szCs w:val="24"/>
        </w:rPr>
        <w:t>, that “</w:t>
      </w:r>
      <w:r w:rsidR="00E62760" w:rsidRPr="00600AFD">
        <w:rPr>
          <w:rFonts w:ascii="Times New Roman" w:eastAsia="Calibri" w:hAnsi="Times New Roman" w:cs="Times New Roman"/>
          <w:szCs w:val="24"/>
        </w:rPr>
        <w:t>s</w:t>
      </w:r>
      <w:r w:rsidRPr="00600AFD">
        <w:rPr>
          <w:rFonts w:ascii="Times New Roman" w:eastAsia="Calibri" w:hAnsi="Times New Roman" w:cs="Times New Roman"/>
          <w:szCs w:val="24"/>
        </w:rPr>
        <w:t xml:space="preserve">tates should take </w:t>
      </w:r>
      <w:r w:rsidRPr="00600AFD">
        <w:rPr>
          <w:rFonts w:ascii="Times New Roman" w:eastAsia="Calibri" w:hAnsi="Times New Roman" w:cs="Times New Roman"/>
          <w:szCs w:val="24"/>
        </w:rPr>
        <w:lastRenderedPageBreak/>
        <w:t xml:space="preserve">measures that will enable prosecutors to carry out their duties without undue interference or unjustified exposure to civil, criminal or other liability.” </w:t>
      </w:r>
    </w:p>
    <w:p w14:paraId="13185E1C" w14:textId="4AE4EF9F" w:rsidR="0087783D" w:rsidRPr="00600AFD" w:rsidRDefault="0080694B"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I</w:t>
      </w:r>
      <w:r w:rsidR="0087783D" w:rsidRPr="00600AFD">
        <w:rPr>
          <w:rFonts w:ascii="Times New Roman" w:eastAsia="Calibri" w:hAnsi="Times New Roman" w:cs="Times New Roman"/>
          <w:szCs w:val="24"/>
        </w:rPr>
        <w:t>nterim benchmark</w:t>
      </w:r>
      <w:r w:rsidRPr="00600AFD">
        <w:rPr>
          <w:rFonts w:ascii="Times New Roman" w:eastAsia="Calibri" w:hAnsi="Times New Roman" w:cs="Times New Roman"/>
          <w:szCs w:val="24"/>
        </w:rPr>
        <w:t>s</w:t>
      </w:r>
      <w:r w:rsidR="0087783D" w:rsidRPr="00600AFD">
        <w:rPr>
          <w:rFonts w:ascii="Times New Roman" w:eastAsia="Calibri" w:hAnsi="Times New Roman" w:cs="Times New Roman"/>
          <w:szCs w:val="24"/>
        </w:rPr>
        <w:t xml:space="preserve"> for Chapter 23</w:t>
      </w:r>
      <w:r w:rsidRPr="00600AFD">
        <w:rPr>
          <w:rFonts w:ascii="Times New Roman" w:eastAsia="Calibri" w:hAnsi="Times New Roman" w:cs="Times New Roman"/>
          <w:szCs w:val="24"/>
        </w:rPr>
        <w:t xml:space="preserve"> particularly emphasize that</w:t>
      </w:r>
      <w:r w:rsidR="0087783D" w:rsidRPr="00600AFD">
        <w:rPr>
          <w:rFonts w:ascii="Times New Roman" w:eastAsia="Calibri" w:hAnsi="Times New Roman" w:cs="Times New Roman"/>
          <w:szCs w:val="24"/>
        </w:rPr>
        <w:t xml:space="preserve"> Serbia should strengthen the impartiality and accountability of the judiciary, and particularly that it should establish a coherent procedural framework and necessary ICT tools that will ensure the random </w:t>
      </w:r>
      <w:r w:rsidRPr="00600AFD">
        <w:rPr>
          <w:rFonts w:ascii="Times New Roman" w:eastAsia="Calibri" w:hAnsi="Times New Roman" w:cs="Times New Roman"/>
          <w:szCs w:val="24"/>
        </w:rPr>
        <w:t xml:space="preserve">case </w:t>
      </w:r>
      <w:r w:rsidR="00B419D1" w:rsidRPr="00600AFD">
        <w:rPr>
          <w:rFonts w:ascii="Times New Roman" w:eastAsia="Calibri" w:hAnsi="Times New Roman" w:cs="Times New Roman"/>
          <w:szCs w:val="24"/>
        </w:rPr>
        <w:t xml:space="preserve">assignment </w:t>
      </w:r>
      <w:r w:rsidR="0087783D" w:rsidRPr="00600AFD">
        <w:rPr>
          <w:rFonts w:ascii="Times New Roman" w:eastAsia="Calibri" w:hAnsi="Times New Roman" w:cs="Times New Roman"/>
          <w:szCs w:val="24"/>
        </w:rPr>
        <w:t xml:space="preserve">in all the courts and </w:t>
      </w:r>
      <w:r w:rsidR="00B55554" w:rsidRPr="00600AFD">
        <w:rPr>
          <w:rFonts w:ascii="Times New Roman" w:eastAsia="Calibri" w:hAnsi="Times New Roman" w:cs="Times New Roman"/>
          <w:szCs w:val="24"/>
        </w:rPr>
        <w:t>prosecutors’ offices</w:t>
      </w:r>
      <w:r w:rsidR="0087783D" w:rsidRPr="00600AFD">
        <w:rPr>
          <w:rFonts w:ascii="Times New Roman" w:eastAsia="Calibri" w:hAnsi="Times New Roman" w:cs="Times New Roman"/>
          <w:szCs w:val="24"/>
        </w:rPr>
        <w:t xml:space="preserve">, as well as adequate oversight of this system by the High </w:t>
      </w:r>
      <w:r w:rsidRPr="00600AFD">
        <w:rPr>
          <w:rFonts w:ascii="Times New Roman" w:eastAsia="Calibri" w:hAnsi="Times New Roman" w:cs="Times New Roman"/>
          <w:szCs w:val="24"/>
        </w:rPr>
        <w:t>Court</w:t>
      </w:r>
      <w:r w:rsidR="0087783D" w:rsidRPr="00600AFD">
        <w:rPr>
          <w:rFonts w:ascii="Times New Roman" w:eastAsia="Calibri" w:hAnsi="Times New Roman" w:cs="Times New Roman"/>
          <w:szCs w:val="24"/>
        </w:rPr>
        <w:t xml:space="preserve"> Council and the State Prosecutorial Council.</w:t>
      </w:r>
    </w:p>
    <w:p w14:paraId="28DF00DC" w14:textId="1F5ED0E5"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In this respect, the normative framework on the distribution of cases was part</w:t>
      </w:r>
      <w:r w:rsidR="00FB18F6" w:rsidRPr="00600AFD">
        <w:rPr>
          <w:rFonts w:ascii="Times New Roman" w:eastAsia="Calibri" w:hAnsi="Times New Roman" w:cs="Times New Roman"/>
          <w:szCs w:val="24"/>
        </w:rPr>
        <w:t>ially</w:t>
      </w:r>
      <w:r w:rsidRPr="00600AFD">
        <w:rPr>
          <w:rFonts w:ascii="Times New Roman" w:eastAsia="Calibri" w:hAnsi="Times New Roman" w:cs="Times New Roman"/>
          <w:szCs w:val="24"/>
        </w:rPr>
        <w:t xml:space="preserve"> changed, but the system of </w:t>
      </w:r>
      <w:r w:rsidR="0080694B" w:rsidRPr="00600AFD">
        <w:rPr>
          <w:rFonts w:ascii="Times New Roman" w:eastAsia="Calibri" w:hAnsi="Times New Roman" w:cs="Times New Roman"/>
          <w:szCs w:val="24"/>
        </w:rPr>
        <w:t>random case assignment,</w:t>
      </w:r>
      <w:r w:rsidRPr="00600AFD">
        <w:rPr>
          <w:rFonts w:ascii="Times New Roman" w:eastAsia="Calibri" w:hAnsi="Times New Roman" w:cs="Times New Roman"/>
          <w:szCs w:val="24"/>
        </w:rPr>
        <w:t xml:space="preserve"> based on objective and pre</w:t>
      </w:r>
      <w:r w:rsidR="000F3999">
        <w:rPr>
          <w:rFonts w:ascii="Times New Roman" w:eastAsia="Calibri" w:hAnsi="Times New Roman" w:cs="Times New Roman"/>
          <w:szCs w:val="24"/>
        </w:rPr>
        <w:t>–</w:t>
      </w:r>
      <w:r w:rsidRPr="00600AFD">
        <w:rPr>
          <w:rFonts w:ascii="Times New Roman" w:eastAsia="Calibri" w:hAnsi="Times New Roman" w:cs="Times New Roman"/>
          <w:szCs w:val="24"/>
        </w:rPr>
        <w:t>determined criteria and accompanied by adequate technological support</w:t>
      </w:r>
      <w:r w:rsidR="0080694B" w:rsidRPr="00600AFD">
        <w:rPr>
          <w:rFonts w:ascii="Times New Roman" w:eastAsia="Calibri" w:hAnsi="Times New Roman" w:cs="Times New Roman"/>
          <w:szCs w:val="24"/>
        </w:rPr>
        <w:t>,</w:t>
      </w:r>
      <w:r w:rsidRPr="00600AFD">
        <w:rPr>
          <w:rFonts w:ascii="Times New Roman" w:eastAsia="Calibri" w:hAnsi="Times New Roman" w:cs="Times New Roman"/>
          <w:szCs w:val="24"/>
        </w:rPr>
        <w:t xml:space="preserve"> has not yet been established in all courts and </w:t>
      </w:r>
      <w:r w:rsidR="00B55554" w:rsidRPr="00600AFD">
        <w:rPr>
          <w:rFonts w:ascii="Times New Roman" w:eastAsia="Calibri" w:hAnsi="Times New Roman" w:cs="Times New Roman"/>
          <w:szCs w:val="24"/>
        </w:rPr>
        <w:t>prosecutors’ offices</w:t>
      </w:r>
      <w:r w:rsidRPr="00600AFD">
        <w:rPr>
          <w:rFonts w:ascii="Times New Roman" w:eastAsia="Calibri" w:hAnsi="Times New Roman" w:cs="Times New Roman"/>
          <w:szCs w:val="24"/>
        </w:rPr>
        <w:t>.</w:t>
      </w:r>
      <w:r w:rsidR="003700E1" w:rsidRPr="00600AFD">
        <w:rPr>
          <w:rFonts w:ascii="Times New Roman" w:eastAsia="Calibri" w:hAnsi="Times New Roman" w:cs="Times New Roman"/>
          <w:szCs w:val="24"/>
        </w:rPr>
        <w:t xml:space="preserve"> </w:t>
      </w:r>
      <w:proofErr w:type="gramStart"/>
      <w:r w:rsidR="001969DF" w:rsidRPr="00600AFD">
        <w:rPr>
          <w:rFonts w:ascii="Times New Roman" w:eastAsia="Calibri" w:hAnsi="Times New Roman" w:cs="Times New Roman"/>
          <w:szCs w:val="24"/>
        </w:rPr>
        <w:t>With regard to</w:t>
      </w:r>
      <w:proofErr w:type="gramEnd"/>
      <w:r w:rsidR="001969DF" w:rsidRPr="00600AFD">
        <w:rPr>
          <w:rFonts w:ascii="Times New Roman" w:eastAsia="Calibri" w:hAnsi="Times New Roman" w:cs="Times New Roman"/>
          <w:szCs w:val="24"/>
        </w:rPr>
        <w:t xml:space="preserve"> the </w:t>
      </w:r>
      <w:r w:rsidR="00DB2C63" w:rsidRPr="00600AFD">
        <w:rPr>
          <w:rFonts w:ascii="Times New Roman" w:eastAsia="Calibri" w:hAnsi="Times New Roman" w:cs="Times New Roman"/>
          <w:szCs w:val="24"/>
        </w:rPr>
        <w:t>prosecutors</w:t>
      </w:r>
      <w:r w:rsidR="00FB18F6" w:rsidRPr="00600AFD">
        <w:rPr>
          <w:rFonts w:ascii="Times New Roman" w:eastAsia="Calibri" w:hAnsi="Times New Roman" w:cs="Times New Roman"/>
          <w:szCs w:val="24"/>
        </w:rPr>
        <w:t>’</w:t>
      </w:r>
      <w:r w:rsidR="001969DF" w:rsidRPr="00600AFD">
        <w:rPr>
          <w:rFonts w:ascii="Times New Roman" w:eastAsia="Calibri" w:hAnsi="Times New Roman" w:cs="Times New Roman"/>
          <w:szCs w:val="24"/>
        </w:rPr>
        <w:t xml:space="preserve"> offices, </w:t>
      </w:r>
      <w:r w:rsidR="001969DF" w:rsidRPr="00600AFD">
        <w:rPr>
          <w:rFonts w:ascii="Times New Roman" w:hAnsi="Times New Roman" w:cs="Times New Roman"/>
          <w:szCs w:val="24"/>
        </w:rPr>
        <w:t xml:space="preserve">consistent application of modified rules on random case assignment </w:t>
      </w:r>
      <w:r w:rsidR="005A1216" w:rsidRPr="00600AFD">
        <w:rPr>
          <w:rFonts w:ascii="Times New Roman" w:hAnsi="Times New Roman" w:cs="Times New Roman"/>
          <w:szCs w:val="24"/>
        </w:rPr>
        <w:t xml:space="preserve">should </w:t>
      </w:r>
      <w:r w:rsidR="00824127" w:rsidRPr="00600AFD">
        <w:rPr>
          <w:rFonts w:ascii="Times New Roman" w:hAnsi="Times New Roman" w:cs="Times New Roman"/>
          <w:szCs w:val="24"/>
        </w:rPr>
        <w:t>be implemented</w:t>
      </w:r>
      <w:r w:rsidR="005A1216" w:rsidRPr="00600AFD">
        <w:rPr>
          <w:rFonts w:ascii="Times New Roman" w:hAnsi="Times New Roman" w:cs="Times New Roman"/>
          <w:szCs w:val="24"/>
        </w:rPr>
        <w:t xml:space="preserve"> along with </w:t>
      </w:r>
      <w:r w:rsidR="00A425F2" w:rsidRPr="00600AFD">
        <w:rPr>
          <w:rFonts w:ascii="Times New Roman" w:hAnsi="Times New Roman" w:cs="Times New Roman"/>
          <w:szCs w:val="24"/>
        </w:rPr>
        <w:t xml:space="preserve">putting in place the </w:t>
      </w:r>
      <w:r w:rsidR="005A1216" w:rsidRPr="00600AFD">
        <w:rPr>
          <w:rFonts w:ascii="Times New Roman" w:hAnsi="Times New Roman" w:cs="Times New Roman"/>
          <w:szCs w:val="24"/>
        </w:rPr>
        <w:t xml:space="preserve">tools for monitoring </w:t>
      </w:r>
      <w:r w:rsidR="00A425F2" w:rsidRPr="00600AFD">
        <w:rPr>
          <w:rFonts w:ascii="Times New Roman" w:hAnsi="Times New Roman" w:cs="Times New Roman"/>
          <w:szCs w:val="24"/>
        </w:rPr>
        <w:t>random case assignment</w:t>
      </w:r>
      <w:r w:rsidR="0061415B" w:rsidRPr="00600AFD">
        <w:rPr>
          <w:rFonts w:ascii="Times New Roman" w:hAnsi="Times New Roman" w:cs="Times New Roman"/>
          <w:szCs w:val="24"/>
        </w:rPr>
        <w:t xml:space="preserve">, taking into account the specific organizational structure of prosecutors’ offices. </w:t>
      </w:r>
      <w:r w:rsidRPr="00600AFD">
        <w:rPr>
          <w:rFonts w:ascii="Times New Roman" w:eastAsia="Calibri" w:hAnsi="Times New Roman" w:cs="Times New Roman"/>
          <w:szCs w:val="24"/>
        </w:rPr>
        <w:t>It is necessary to continue with the changes to the normative framework, as well as other measures that would enable full implementation of this system.</w:t>
      </w:r>
    </w:p>
    <w:p w14:paraId="0E30C39A" w14:textId="66B0D99F"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In accordance with the interim benchmark, normative and institutional mechanisms for the prevention of corruption in the judiciary have been established, including the adoption and monitoring of integrity plans and the adoption of the Law on the Protection of Whistleblowers.</w:t>
      </w:r>
      <w:r w:rsidRPr="00600AFD">
        <w:rPr>
          <w:rFonts w:ascii="Times New Roman" w:eastAsia="Calibri" w:hAnsi="Times New Roman" w:cs="Times New Roman"/>
          <w:szCs w:val="24"/>
          <w:vertAlign w:val="superscript"/>
        </w:rPr>
        <w:footnoteReference w:id="23"/>
      </w:r>
      <w:r w:rsidRPr="00600AFD">
        <w:rPr>
          <w:rFonts w:ascii="Times New Roman" w:eastAsia="Calibri" w:hAnsi="Times New Roman" w:cs="Times New Roman"/>
          <w:szCs w:val="24"/>
        </w:rPr>
        <w:t xml:space="preserve"> At the same time, great progress has been made </w:t>
      </w:r>
      <w:r w:rsidR="00734DD4" w:rsidRPr="00600AFD">
        <w:rPr>
          <w:rFonts w:ascii="Times New Roman" w:eastAsia="Calibri" w:hAnsi="Times New Roman" w:cs="Times New Roman"/>
          <w:szCs w:val="24"/>
        </w:rPr>
        <w:t>in</w:t>
      </w:r>
      <w:r w:rsidRPr="00600AFD">
        <w:rPr>
          <w:rFonts w:ascii="Times New Roman" w:eastAsia="Calibri" w:hAnsi="Times New Roman" w:cs="Times New Roman"/>
          <w:szCs w:val="24"/>
        </w:rPr>
        <w:t xml:space="preserve"> the establishment of standards of professional ethics for </w:t>
      </w:r>
      <w:r w:rsidR="00734DD4" w:rsidRPr="00600AFD">
        <w:rPr>
          <w:rFonts w:ascii="Times New Roman" w:eastAsia="Calibri" w:hAnsi="Times New Roman" w:cs="Times New Roman"/>
          <w:szCs w:val="24"/>
        </w:rPr>
        <w:t>judicial office holders</w:t>
      </w:r>
      <w:r w:rsidRPr="00600AFD">
        <w:rPr>
          <w:rFonts w:ascii="Times New Roman" w:eastAsia="Calibri" w:hAnsi="Times New Roman" w:cs="Times New Roman"/>
          <w:szCs w:val="24"/>
        </w:rPr>
        <w:t xml:space="preserve">, which serve as the basis for further strengthening </w:t>
      </w:r>
      <w:r w:rsidR="00794916" w:rsidRPr="00600AFD">
        <w:rPr>
          <w:rFonts w:ascii="Times New Roman" w:eastAsia="Calibri" w:hAnsi="Times New Roman" w:cs="Times New Roman"/>
          <w:szCs w:val="24"/>
        </w:rPr>
        <w:t xml:space="preserve">of </w:t>
      </w:r>
      <w:r w:rsidRPr="00600AFD">
        <w:rPr>
          <w:rFonts w:ascii="Times New Roman" w:eastAsia="Calibri" w:hAnsi="Times New Roman" w:cs="Times New Roman"/>
          <w:szCs w:val="24"/>
        </w:rPr>
        <w:t xml:space="preserve">the </w:t>
      </w:r>
      <w:r w:rsidR="00794916" w:rsidRPr="00600AFD">
        <w:rPr>
          <w:rFonts w:ascii="Times New Roman" w:eastAsia="Calibri" w:hAnsi="Times New Roman" w:cs="Times New Roman"/>
          <w:szCs w:val="24"/>
        </w:rPr>
        <w:t>rule of law</w:t>
      </w:r>
      <w:r w:rsidRPr="00600AFD">
        <w:rPr>
          <w:rFonts w:ascii="Times New Roman" w:eastAsia="Calibri" w:hAnsi="Times New Roman" w:cs="Times New Roman"/>
          <w:szCs w:val="24"/>
        </w:rPr>
        <w:t xml:space="preserve"> and citizens’ trust and confidence in the judicial system. The Codes of Ethics </w:t>
      </w:r>
      <w:r w:rsidR="00D45FDD" w:rsidRPr="00600AFD">
        <w:rPr>
          <w:rFonts w:ascii="Times New Roman" w:eastAsia="Calibri" w:hAnsi="Times New Roman" w:cs="Times New Roman"/>
          <w:szCs w:val="24"/>
        </w:rPr>
        <w:t>of</w:t>
      </w:r>
      <w:r w:rsidRPr="00600AFD">
        <w:rPr>
          <w:rFonts w:ascii="Times New Roman" w:eastAsia="Calibri" w:hAnsi="Times New Roman" w:cs="Times New Roman"/>
          <w:szCs w:val="24"/>
        </w:rPr>
        <w:t xml:space="preserve"> Judges, Public Prosecutors and Deputy Public Prosecutors, members of the High </w:t>
      </w:r>
      <w:r w:rsidR="008F4382" w:rsidRPr="00600AFD">
        <w:rPr>
          <w:rFonts w:ascii="Times New Roman" w:eastAsia="Calibri" w:hAnsi="Times New Roman" w:cs="Times New Roman"/>
          <w:szCs w:val="24"/>
        </w:rPr>
        <w:t>Court</w:t>
      </w:r>
      <w:r w:rsidRPr="00600AFD">
        <w:rPr>
          <w:rFonts w:ascii="Times New Roman" w:eastAsia="Calibri" w:hAnsi="Times New Roman" w:cs="Times New Roman"/>
          <w:szCs w:val="24"/>
        </w:rPr>
        <w:t xml:space="preserve"> Council and the State Prosecutorial Council have been adopted. </w:t>
      </w:r>
      <w:r w:rsidR="00243EEB" w:rsidRPr="00600AFD">
        <w:rPr>
          <w:rFonts w:ascii="Times New Roman" w:eastAsia="Calibri" w:hAnsi="Times New Roman" w:cs="Times New Roman"/>
          <w:szCs w:val="24"/>
        </w:rPr>
        <w:t xml:space="preserve">The Rules on </w:t>
      </w:r>
      <w:r w:rsidR="00446312" w:rsidRPr="00600AFD">
        <w:rPr>
          <w:rFonts w:ascii="Times New Roman" w:eastAsia="Calibri" w:hAnsi="Times New Roman" w:cs="Times New Roman"/>
          <w:szCs w:val="24"/>
        </w:rPr>
        <w:t xml:space="preserve">Procedures of </w:t>
      </w:r>
      <w:r w:rsidR="00243EEB" w:rsidRPr="00600AFD">
        <w:rPr>
          <w:rFonts w:ascii="Times New Roman" w:eastAsia="Calibri" w:hAnsi="Times New Roman" w:cs="Times New Roman"/>
          <w:szCs w:val="24"/>
        </w:rPr>
        <w:t xml:space="preserve">the Ethical Committees of </w:t>
      </w:r>
      <w:r w:rsidRPr="00600AFD">
        <w:rPr>
          <w:rFonts w:ascii="Times New Roman" w:eastAsia="Calibri" w:hAnsi="Times New Roman" w:cs="Times New Roman"/>
          <w:szCs w:val="24"/>
        </w:rPr>
        <w:t xml:space="preserve">the High </w:t>
      </w:r>
      <w:r w:rsidR="007E3A88" w:rsidRPr="00600AFD">
        <w:rPr>
          <w:rFonts w:ascii="Times New Roman" w:eastAsia="Calibri" w:hAnsi="Times New Roman" w:cs="Times New Roman"/>
          <w:szCs w:val="24"/>
        </w:rPr>
        <w:t>Court</w:t>
      </w:r>
      <w:r w:rsidRPr="00600AFD">
        <w:rPr>
          <w:rFonts w:ascii="Times New Roman" w:eastAsia="Calibri" w:hAnsi="Times New Roman" w:cs="Times New Roman"/>
          <w:szCs w:val="24"/>
        </w:rPr>
        <w:t xml:space="preserve"> Council and the State Prosecutorial Council were adopted as well. However, additional efforts should be made to improve the capacities of disciplinary bodies, align the legislative framework with the provisions of the amended Constitution, and establish a functional system for monitoring the application of the </w:t>
      </w:r>
      <w:r w:rsidR="00793E38" w:rsidRPr="00600AFD">
        <w:rPr>
          <w:rFonts w:ascii="Times New Roman" w:eastAsia="Calibri" w:hAnsi="Times New Roman" w:cs="Times New Roman"/>
          <w:szCs w:val="24"/>
        </w:rPr>
        <w:t>c</w:t>
      </w:r>
      <w:r w:rsidRPr="00600AFD">
        <w:rPr>
          <w:rFonts w:ascii="Times New Roman" w:eastAsia="Calibri" w:hAnsi="Times New Roman" w:cs="Times New Roman"/>
          <w:szCs w:val="24"/>
        </w:rPr>
        <w:t xml:space="preserve">odes of </w:t>
      </w:r>
      <w:r w:rsidR="00793E38" w:rsidRPr="00600AFD">
        <w:rPr>
          <w:rFonts w:ascii="Times New Roman" w:eastAsia="Calibri" w:hAnsi="Times New Roman" w:cs="Times New Roman"/>
          <w:szCs w:val="24"/>
        </w:rPr>
        <w:t>e</w:t>
      </w:r>
      <w:r w:rsidRPr="00600AFD">
        <w:rPr>
          <w:rFonts w:ascii="Times New Roman" w:eastAsia="Calibri" w:hAnsi="Times New Roman" w:cs="Times New Roman"/>
          <w:szCs w:val="24"/>
        </w:rPr>
        <w:t xml:space="preserve">thics and </w:t>
      </w:r>
      <w:r w:rsidR="00793E38" w:rsidRPr="00600AFD">
        <w:rPr>
          <w:rFonts w:ascii="Times New Roman" w:eastAsia="Calibri" w:hAnsi="Times New Roman" w:cs="Times New Roman"/>
          <w:szCs w:val="24"/>
        </w:rPr>
        <w:t>r</w:t>
      </w:r>
      <w:r w:rsidRPr="00600AFD">
        <w:rPr>
          <w:rFonts w:ascii="Times New Roman" w:eastAsia="Calibri" w:hAnsi="Times New Roman" w:cs="Times New Roman"/>
          <w:szCs w:val="24"/>
        </w:rPr>
        <w:t xml:space="preserve">ules of </w:t>
      </w:r>
      <w:r w:rsidR="00793E38" w:rsidRPr="00600AFD">
        <w:rPr>
          <w:rFonts w:ascii="Times New Roman" w:eastAsia="Calibri" w:hAnsi="Times New Roman" w:cs="Times New Roman"/>
          <w:szCs w:val="24"/>
        </w:rPr>
        <w:t>p</w:t>
      </w:r>
      <w:r w:rsidRPr="00600AFD">
        <w:rPr>
          <w:rFonts w:ascii="Times New Roman" w:eastAsia="Calibri" w:hAnsi="Times New Roman" w:cs="Times New Roman"/>
          <w:szCs w:val="24"/>
        </w:rPr>
        <w:t>rocedure.</w:t>
      </w:r>
      <w:r w:rsidR="00431905" w:rsidRPr="00600AFD">
        <w:rPr>
          <w:rFonts w:ascii="Times New Roman" w:eastAsia="Calibri" w:hAnsi="Times New Roman" w:cs="Times New Roman"/>
          <w:szCs w:val="24"/>
        </w:rPr>
        <w:t xml:space="preserve"> Particular attention should be </w:t>
      </w:r>
      <w:r w:rsidR="00A23BA3" w:rsidRPr="00600AFD">
        <w:rPr>
          <w:rFonts w:ascii="Times New Roman" w:eastAsia="Calibri" w:hAnsi="Times New Roman" w:cs="Times New Roman"/>
          <w:szCs w:val="24"/>
        </w:rPr>
        <w:t xml:space="preserve">paid to </w:t>
      </w:r>
      <w:r w:rsidR="00FB18F6" w:rsidRPr="00600AFD">
        <w:rPr>
          <w:rFonts w:ascii="Times New Roman" w:eastAsia="Calibri" w:hAnsi="Times New Roman" w:cs="Times New Roman"/>
          <w:szCs w:val="24"/>
        </w:rPr>
        <w:t xml:space="preserve">the </w:t>
      </w:r>
      <w:r w:rsidR="00A23BA3" w:rsidRPr="00600AFD">
        <w:rPr>
          <w:rFonts w:ascii="Times New Roman" w:eastAsia="Calibri" w:hAnsi="Times New Roman" w:cs="Times New Roman"/>
          <w:szCs w:val="24"/>
        </w:rPr>
        <w:t xml:space="preserve">advancement of capacities and manner of operation of </w:t>
      </w:r>
      <w:r w:rsidR="00BA60B7" w:rsidRPr="00600AFD">
        <w:rPr>
          <w:rFonts w:ascii="Times New Roman" w:eastAsia="Calibri" w:hAnsi="Times New Roman" w:cs="Times New Roman"/>
          <w:szCs w:val="24"/>
        </w:rPr>
        <w:t xml:space="preserve">ethical </w:t>
      </w:r>
      <w:r w:rsidR="00681665" w:rsidRPr="00600AFD">
        <w:rPr>
          <w:rFonts w:ascii="Times New Roman" w:eastAsia="Calibri" w:hAnsi="Times New Roman" w:cs="Times New Roman"/>
          <w:szCs w:val="24"/>
        </w:rPr>
        <w:t>committees</w:t>
      </w:r>
      <w:r w:rsidR="00FB18F6" w:rsidRPr="00600AFD">
        <w:rPr>
          <w:rFonts w:ascii="Times New Roman" w:eastAsia="Calibri" w:hAnsi="Times New Roman" w:cs="Times New Roman"/>
          <w:szCs w:val="24"/>
        </w:rPr>
        <w:t>,</w:t>
      </w:r>
      <w:r w:rsidR="00681665" w:rsidRPr="00600AFD">
        <w:rPr>
          <w:rFonts w:ascii="Times New Roman" w:eastAsia="Calibri" w:hAnsi="Times New Roman" w:cs="Times New Roman"/>
          <w:szCs w:val="24"/>
        </w:rPr>
        <w:t xml:space="preserve"> which pursuant to the international conventions, should </w:t>
      </w:r>
      <w:r w:rsidR="006B1E1C" w:rsidRPr="00600AFD">
        <w:rPr>
          <w:rFonts w:ascii="Times New Roman" w:eastAsia="Calibri" w:hAnsi="Times New Roman" w:cs="Times New Roman"/>
          <w:szCs w:val="24"/>
        </w:rPr>
        <w:t xml:space="preserve">fulfill an advisory role </w:t>
      </w:r>
      <w:r w:rsidR="002E240A" w:rsidRPr="00600AFD">
        <w:rPr>
          <w:rFonts w:ascii="Times New Roman" w:eastAsia="Calibri" w:hAnsi="Times New Roman" w:cs="Times New Roman"/>
          <w:szCs w:val="24"/>
        </w:rPr>
        <w:t xml:space="preserve">with respect to </w:t>
      </w:r>
      <w:r w:rsidR="006B1E1C" w:rsidRPr="00600AFD">
        <w:rPr>
          <w:rFonts w:ascii="Times New Roman" w:eastAsia="Calibri" w:hAnsi="Times New Roman" w:cs="Times New Roman"/>
          <w:szCs w:val="24"/>
        </w:rPr>
        <w:t>judicial office holders</w:t>
      </w:r>
      <w:r w:rsidR="002E240A" w:rsidRPr="00600AFD">
        <w:rPr>
          <w:rFonts w:ascii="Times New Roman" w:eastAsia="Calibri" w:hAnsi="Times New Roman" w:cs="Times New Roman"/>
          <w:szCs w:val="24"/>
        </w:rPr>
        <w:t xml:space="preserve"> and earn their trust. </w:t>
      </w:r>
      <w:r w:rsidR="006B1E1C" w:rsidRPr="00600AFD">
        <w:rPr>
          <w:rFonts w:ascii="Times New Roman" w:eastAsia="Calibri" w:hAnsi="Times New Roman" w:cs="Times New Roman"/>
          <w:szCs w:val="24"/>
        </w:rPr>
        <w:t xml:space="preserve"> </w:t>
      </w:r>
    </w:p>
    <w:p w14:paraId="7FCCAFF3"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The accountability of representatives of judicial professions (</w:t>
      </w:r>
      <w:r w:rsidR="00654C03" w:rsidRPr="00600AFD">
        <w:rPr>
          <w:rFonts w:ascii="Times New Roman" w:eastAsia="Calibri" w:hAnsi="Times New Roman" w:cs="Times New Roman"/>
          <w:szCs w:val="24"/>
        </w:rPr>
        <w:t>public enforcement officers</w:t>
      </w:r>
      <w:r w:rsidRPr="00600AFD">
        <w:rPr>
          <w:rFonts w:ascii="Times New Roman" w:eastAsia="Calibri" w:hAnsi="Times New Roman" w:cs="Times New Roman"/>
          <w:szCs w:val="24"/>
        </w:rPr>
        <w:t xml:space="preserve"> and notaries</w:t>
      </w:r>
      <w:r w:rsidR="00654C03" w:rsidRPr="00600AFD">
        <w:rPr>
          <w:rFonts w:ascii="Times New Roman" w:eastAsia="Calibri" w:hAnsi="Times New Roman" w:cs="Times New Roman"/>
          <w:szCs w:val="24"/>
        </w:rPr>
        <w:t xml:space="preserve"> public</w:t>
      </w:r>
      <w:r w:rsidRPr="00600AFD">
        <w:rPr>
          <w:rFonts w:ascii="Times New Roman" w:eastAsia="Calibri" w:hAnsi="Times New Roman" w:cs="Times New Roman"/>
          <w:szCs w:val="24"/>
        </w:rPr>
        <w:t>) should also be taken into account as part of the overall functioning of the judicial system to enable lawful and efficient acting and protection of the rights of citizens, which is why it is necessary to increase awareness of their accountability in the capacity of persons entrusted with public powers, and to further improve the mechanisms for monitoring their work.</w:t>
      </w:r>
    </w:p>
    <w:p w14:paraId="6A8708A4" w14:textId="29998899" w:rsidR="0087783D" w:rsidRPr="00600AFD" w:rsidRDefault="00EF6F7B"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lastRenderedPageBreak/>
        <w:t xml:space="preserve">Striking </w:t>
      </w:r>
      <w:r w:rsidR="0087783D" w:rsidRPr="00600AFD">
        <w:rPr>
          <w:rFonts w:ascii="Times New Roman" w:eastAsia="Calibri" w:hAnsi="Times New Roman" w:cs="Times New Roman"/>
          <w:szCs w:val="24"/>
        </w:rPr>
        <w:t xml:space="preserve">a balance between the guarantees of independence and the rules governing impartial and accountable </w:t>
      </w:r>
      <w:r w:rsidR="007E3A88" w:rsidRPr="00600AFD">
        <w:rPr>
          <w:rFonts w:ascii="Times New Roman" w:eastAsia="Calibri" w:hAnsi="Times New Roman" w:cs="Times New Roman"/>
          <w:szCs w:val="24"/>
        </w:rPr>
        <w:t>proceedings</w:t>
      </w:r>
      <w:r w:rsidR="0087783D" w:rsidRPr="00600AFD">
        <w:rPr>
          <w:rFonts w:ascii="Times New Roman" w:eastAsia="Calibri" w:hAnsi="Times New Roman" w:cs="Times New Roman"/>
          <w:szCs w:val="24"/>
        </w:rPr>
        <w:t xml:space="preserve"> is conditioned </w:t>
      </w:r>
      <w:r w:rsidR="00FB18F6" w:rsidRPr="00600AFD">
        <w:rPr>
          <w:rFonts w:ascii="Times New Roman" w:eastAsia="Calibri" w:hAnsi="Times New Roman" w:cs="Times New Roman"/>
          <w:szCs w:val="24"/>
        </w:rPr>
        <w:t>on</w:t>
      </w:r>
      <w:r w:rsidR="0087783D" w:rsidRPr="00600AFD">
        <w:rPr>
          <w:rFonts w:ascii="Times New Roman" w:eastAsia="Calibri" w:hAnsi="Times New Roman" w:cs="Times New Roman"/>
          <w:szCs w:val="24"/>
        </w:rPr>
        <w:t xml:space="preserve"> the effective functioning of preventive and repressive mechanisms in the field of ethics, integrity and disciplinary </w:t>
      </w:r>
      <w:r w:rsidR="000505B7" w:rsidRPr="00600AFD">
        <w:rPr>
          <w:rFonts w:ascii="Times New Roman" w:eastAsia="Calibri" w:hAnsi="Times New Roman" w:cs="Times New Roman"/>
          <w:szCs w:val="24"/>
        </w:rPr>
        <w:t>responsibility</w:t>
      </w:r>
      <w:r w:rsidR="00522A9E" w:rsidRPr="00600AFD">
        <w:rPr>
          <w:rFonts w:ascii="Times New Roman" w:eastAsia="Calibri" w:hAnsi="Times New Roman" w:cs="Times New Roman"/>
          <w:szCs w:val="24"/>
        </w:rPr>
        <w:t xml:space="preserve">, but also the compositions of the High </w:t>
      </w:r>
      <w:r w:rsidR="00456F7A" w:rsidRPr="00600AFD">
        <w:rPr>
          <w:rFonts w:ascii="Times New Roman" w:eastAsia="Calibri" w:hAnsi="Times New Roman" w:cs="Times New Roman"/>
          <w:szCs w:val="24"/>
        </w:rPr>
        <w:t xml:space="preserve">Court </w:t>
      </w:r>
      <w:r w:rsidR="00522A9E" w:rsidRPr="00600AFD">
        <w:rPr>
          <w:rFonts w:ascii="Times New Roman" w:eastAsia="Calibri" w:hAnsi="Times New Roman" w:cs="Times New Roman"/>
          <w:szCs w:val="24"/>
        </w:rPr>
        <w:t>Council and the State Prosecutorial Council respectively.</w:t>
      </w:r>
    </w:p>
    <w:p w14:paraId="59637616" w14:textId="77777777" w:rsidR="0087783D" w:rsidRPr="00600AFD" w:rsidRDefault="0087783D" w:rsidP="0087783D">
      <w:pPr>
        <w:spacing w:after="240"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In order to achieve the </w:t>
      </w:r>
      <w:r w:rsidR="00D30772" w:rsidRPr="00600AFD">
        <w:rPr>
          <w:rFonts w:ascii="Times New Roman" w:eastAsia="Calibri" w:hAnsi="Times New Roman" w:cs="Times New Roman"/>
          <w:szCs w:val="24"/>
        </w:rPr>
        <w:t xml:space="preserve">specific </w:t>
      </w:r>
      <w:r w:rsidRPr="00600AFD">
        <w:rPr>
          <w:rFonts w:ascii="Times New Roman" w:eastAsia="Calibri" w:hAnsi="Times New Roman" w:cs="Times New Roman"/>
          <w:szCs w:val="24"/>
        </w:rPr>
        <w:t>objective</w:t>
      </w:r>
      <w:r w:rsidR="00D30772" w:rsidRPr="00600AFD">
        <w:rPr>
          <w:rFonts w:ascii="Times New Roman" w:eastAsia="Calibri" w:hAnsi="Times New Roman" w:cs="Times New Roman"/>
          <w:szCs w:val="24"/>
        </w:rPr>
        <w:t xml:space="preserve"> 2</w:t>
      </w:r>
      <w:r w:rsidRPr="00600AFD">
        <w:rPr>
          <w:rFonts w:ascii="Times New Roman" w:eastAsia="Calibri" w:hAnsi="Times New Roman" w:cs="Times New Roman"/>
          <w:szCs w:val="24"/>
        </w:rPr>
        <w:t xml:space="preserve"> reflected in ‘</w:t>
      </w:r>
      <w:r w:rsidRPr="00600AFD">
        <w:rPr>
          <w:rFonts w:ascii="Times New Roman" w:eastAsia="Calibri" w:hAnsi="Times New Roman" w:cs="Times New Roman"/>
          <w:i/>
          <w:szCs w:val="24"/>
        </w:rPr>
        <w:t xml:space="preserve">further </w:t>
      </w:r>
      <w:r w:rsidR="00D30772" w:rsidRPr="00600AFD">
        <w:rPr>
          <w:rFonts w:ascii="Times New Roman" w:eastAsia="Calibri" w:hAnsi="Times New Roman" w:cs="Times New Roman"/>
          <w:i/>
          <w:szCs w:val="24"/>
        </w:rPr>
        <w:t xml:space="preserve">advancement </w:t>
      </w:r>
      <w:r w:rsidRPr="00600AFD">
        <w:rPr>
          <w:rFonts w:ascii="Times New Roman" w:eastAsia="Calibri" w:hAnsi="Times New Roman" w:cs="Times New Roman"/>
          <w:i/>
          <w:szCs w:val="24"/>
        </w:rPr>
        <w:t>and consistent implementation of the normative framework which ensures that</w:t>
      </w:r>
      <w:r w:rsidR="00FB18F6" w:rsidRPr="00600AFD">
        <w:rPr>
          <w:rFonts w:ascii="Times New Roman" w:eastAsia="Calibri" w:hAnsi="Times New Roman" w:cs="Times New Roman"/>
          <w:i/>
          <w:szCs w:val="24"/>
        </w:rPr>
        <w:t xml:space="preserve"> </w:t>
      </w:r>
      <w:r w:rsidRPr="00600AFD">
        <w:rPr>
          <w:rFonts w:ascii="Times New Roman" w:eastAsia="Calibri" w:hAnsi="Times New Roman" w:cs="Times New Roman"/>
          <w:i/>
          <w:szCs w:val="24"/>
        </w:rPr>
        <w:t xml:space="preserve">in the justice system of the Republic of Serbia, each individual has access to justice under equal conditions without discrimination on any grounds and with equal opportunity to protect and exercise his/her rights and interests. At the same time, the mechanisms of responsibility of judicial institutions and </w:t>
      </w:r>
      <w:r w:rsidR="00734DD4" w:rsidRPr="00600AFD">
        <w:rPr>
          <w:rFonts w:ascii="Times New Roman" w:eastAsia="Calibri" w:hAnsi="Times New Roman" w:cs="Times New Roman"/>
          <w:i/>
          <w:szCs w:val="24"/>
        </w:rPr>
        <w:t>judicial office holders</w:t>
      </w:r>
      <w:r w:rsidRPr="00600AFD">
        <w:rPr>
          <w:rFonts w:ascii="Times New Roman" w:eastAsia="Calibri" w:hAnsi="Times New Roman" w:cs="Times New Roman"/>
          <w:i/>
          <w:szCs w:val="24"/>
        </w:rPr>
        <w:t xml:space="preserve"> for the quality and results of work and </w:t>
      </w:r>
      <w:r w:rsidR="00980694" w:rsidRPr="00600AFD">
        <w:rPr>
          <w:rFonts w:ascii="Times New Roman" w:eastAsia="Calibri" w:hAnsi="Times New Roman" w:cs="Times New Roman"/>
          <w:i/>
          <w:szCs w:val="24"/>
        </w:rPr>
        <w:t>utilization</w:t>
      </w:r>
      <w:r w:rsidRPr="00600AFD">
        <w:rPr>
          <w:rFonts w:ascii="Times New Roman" w:eastAsia="Calibri" w:hAnsi="Times New Roman" w:cs="Times New Roman"/>
          <w:i/>
          <w:szCs w:val="24"/>
        </w:rPr>
        <w:t xml:space="preserve"> of allocated resources, are functioning efficiently,’</w:t>
      </w:r>
      <w:r w:rsidRPr="00600AFD">
        <w:rPr>
          <w:rFonts w:ascii="Times New Roman" w:eastAsia="Calibri" w:hAnsi="Times New Roman" w:cs="Times New Roman"/>
          <w:szCs w:val="24"/>
        </w:rPr>
        <w:t xml:space="preserve"> it is necessary to implement the following measures: </w:t>
      </w:r>
    </w:p>
    <w:tbl>
      <w:tblPr>
        <w:tblStyle w:val="TableGrid1"/>
        <w:tblW w:w="0" w:type="auto"/>
        <w:tblLook w:val="04A0" w:firstRow="1" w:lastRow="0" w:firstColumn="1" w:lastColumn="0" w:noHBand="0" w:noVBand="1"/>
      </w:tblPr>
      <w:tblGrid>
        <w:gridCol w:w="625"/>
        <w:gridCol w:w="8725"/>
      </w:tblGrid>
      <w:tr w:rsidR="0087783D" w:rsidRPr="00600AFD" w14:paraId="39031719" w14:textId="77777777" w:rsidTr="00C55662">
        <w:tc>
          <w:tcPr>
            <w:tcW w:w="625" w:type="dxa"/>
            <w:shd w:val="clear" w:color="auto" w:fill="D9E2F3"/>
          </w:tcPr>
          <w:p w14:paraId="57B60328" w14:textId="77777777" w:rsidR="0087783D" w:rsidRPr="00600AFD" w:rsidRDefault="0087783D"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1.</w:t>
            </w:r>
          </w:p>
        </w:tc>
        <w:tc>
          <w:tcPr>
            <w:tcW w:w="8725" w:type="dxa"/>
          </w:tcPr>
          <w:p w14:paraId="7CA3F536" w14:textId="77777777" w:rsidR="0087783D" w:rsidRPr="00600AFD" w:rsidRDefault="0087783D" w:rsidP="007E3A88">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Amend the legislative framework in order to further specify and apply the rules on </w:t>
            </w:r>
            <w:r w:rsidR="007E3A88" w:rsidRPr="00600AFD">
              <w:rPr>
                <w:rFonts w:ascii="Times New Roman" w:eastAsia="Calibri" w:hAnsi="Times New Roman" w:cs="Times New Roman"/>
                <w:szCs w:val="24"/>
              </w:rPr>
              <w:t>random case assignment in courts;</w:t>
            </w:r>
          </w:p>
        </w:tc>
      </w:tr>
      <w:tr w:rsidR="0087783D" w:rsidRPr="00600AFD" w14:paraId="5FDB9309" w14:textId="77777777" w:rsidTr="00C55662">
        <w:tc>
          <w:tcPr>
            <w:tcW w:w="625" w:type="dxa"/>
            <w:shd w:val="clear" w:color="auto" w:fill="D9E2F3"/>
          </w:tcPr>
          <w:p w14:paraId="4699E4EF" w14:textId="77777777" w:rsidR="0087783D" w:rsidRPr="00600AFD" w:rsidRDefault="0087783D"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2.</w:t>
            </w:r>
          </w:p>
        </w:tc>
        <w:tc>
          <w:tcPr>
            <w:tcW w:w="8725" w:type="dxa"/>
          </w:tcPr>
          <w:p w14:paraId="18F09046" w14:textId="77777777" w:rsidR="0087783D" w:rsidRPr="00600AFD" w:rsidRDefault="007E3A88" w:rsidP="007E3A88">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Amend the legislative framework in order to further specify and apply the rules on random case assignment in the public prosecutor’s offices, bearing in mind the specific organization of the public prosecutor’s offices. </w:t>
            </w:r>
          </w:p>
        </w:tc>
      </w:tr>
      <w:tr w:rsidR="0087783D" w:rsidRPr="00600AFD" w14:paraId="6F87D133" w14:textId="77777777" w:rsidTr="00C55662">
        <w:tc>
          <w:tcPr>
            <w:tcW w:w="625" w:type="dxa"/>
            <w:shd w:val="clear" w:color="auto" w:fill="D9E2F3"/>
          </w:tcPr>
          <w:p w14:paraId="05A4B6A9" w14:textId="77777777" w:rsidR="0087783D" w:rsidRPr="00600AFD" w:rsidRDefault="0087783D"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3.</w:t>
            </w:r>
          </w:p>
        </w:tc>
        <w:tc>
          <w:tcPr>
            <w:tcW w:w="8725" w:type="dxa"/>
          </w:tcPr>
          <w:p w14:paraId="1B002493" w14:textId="021A1546" w:rsidR="0087783D" w:rsidRPr="00600AFD" w:rsidRDefault="007E3A88" w:rsidP="007E3A88">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Improve the legislative framework that governs the system of ethics, integrity and disciplinary liability of judges and public prosecutors, and align it with new constitutional solutions</w:t>
            </w:r>
            <w:r w:rsidR="008F3144" w:rsidRPr="00600AFD">
              <w:rPr>
                <w:rFonts w:ascii="Times New Roman" w:eastAsia="Calibri" w:hAnsi="Times New Roman" w:cs="Times New Roman"/>
                <w:szCs w:val="24"/>
              </w:rPr>
              <w:t>, and provide establishing of mechanism for centralized, transparent</w:t>
            </w:r>
            <w:r w:rsidR="00607E9E" w:rsidRPr="00600AFD">
              <w:rPr>
                <w:rFonts w:ascii="Times New Roman" w:eastAsia="Calibri" w:hAnsi="Times New Roman" w:cs="Times New Roman"/>
                <w:szCs w:val="24"/>
              </w:rPr>
              <w:t xml:space="preserve"> and efficient </w:t>
            </w:r>
            <w:r w:rsidR="00565C91" w:rsidRPr="00600AFD">
              <w:rPr>
                <w:rFonts w:ascii="Times New Roman" w:eastAsia="Calibri" w:hAnsi="Times New Roman" w:cs="Times New Roman"/>
                <w:szCs w:val="24"/>
              </w:rPr>
              <w:t xml:space="preserve">handling of complaints </w:t>
            </w:r>
            <w:r w:rsidR="00467EA7" w:rsidRPr="00600AFD">
              <w:rPr>
                <w:rFonts w:ascii="Times New Roman" w:eastAsia="Calibri" w:hAnsi="Times New Roman" w:cs="Times New Roman"/>
                <w:szCs w:val="24"/>
              </w:rPr>
              <w:t xml:space="preserve">against the work of judges and courts </w:t>
            </w:r>
            <w:r w:rsidR="00565C91" w:rsidRPr="00600AFD">
              <w:rPr>
                <w:rFonts w:ascii="Times New Roman" w:eastAsia="Calibri" w:hAnsi="Times New Roman" w:cs="Times New Roman"/>
                <w:szCs w:val="24"/>
              </w:rPr>
              <w:t>submitted by citizens</w:t>
            </w:r>
            <w:r w:rsidR="00467EA7" w:rsidRPr="00600AFD">
              <w:rPr>
                <w:rFonts w:ascii="Times New Roman" w:eastAsia="Calibri" w:hAnsi="Times New Roman" w:cs="Times New Roman"/>
                <w:szCs w:val="24"/>
              </w:rPr>
              <w:t>;</w:t>
            </w:r>
          </w:p>
        </w:tc>
      </w:tr>
      <w:tr w:rsidR="0087783D" w:rsidRPr="00600AFD" w14:paraId="1327A427" w14:textId="77777777" w:rsidTr="00C55662">
        <w:tc>
          <w:tcPr>
            <w:tcW w:w="625" w:type="dxa"/>
            <w:shd w:val="clear" w:color="auto" w:fill="D9E2F3"/>
          </w:tcPr>
          <w:p w14:paraId="48717B67" w14:textId="77777777" w:rsidR="0087783D" w:rsidRPr="00600AFD" w:rsidRDefault="0087783D"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4.</w:t>
            </w:r>
          </w:p>
        </w:tc>
        <w:tc>
          <w:tcPr>
            <w:tcW w:w="8725" w:type="dxa"/>
          </w:tcPr>
          <w:p w14:paraId="4497EB38" w14:textId="0D350CC6" w:rsidR="0087783D" w:rsidRPr="00600AFD" w:rsidRDefault="007E3A8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Strengthen capacities of disciplinary bodies of the High Court Council and the State Prosecutorial Council for effective enforcement of competences in the process of establishing disciplinary liability of judges and public prosecutors;</w:t>
            </w:r>
          </w:p>
        </w:tc>
      </w:tr>
      <w:tr w:rsidR="003928A3" w:rsidRPr="00600AFD" w14:paraId="1D362887" w14:textId="77777777" w:rsidTr="00C55662">
        <w:tc>
          <w:tcPr>
            <w:tcW w:w="625" w:type="dxa"/>
            <w:shd w:val="clear" w:color="auto" w:fill="D9E2F3"/>
          </w:tcPr>
          <w:p w14:paraId="72D139B7" w14:textId="77777777" w:rsidR="003928A3" w:rsidRPr="00600AFD" w:rsidRDefault="003928A3"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5.</w:t>
            </w:r>
          </w:p>
        </w:tc>
        <w:tc>
          <w:tcPr>
            <w:tcW w:w="8725" w:type="dxa"/>
          </w:tcPr>
          <w:p w14:paraId="5FA0219B" w14:textId="4098F0E4" w:rsidR="003928A3" w:rsidRPr="00600AFD" w:rsidRDefault="00182556" w:rsidP="00824127">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Strengthen capacities of ethical bodies </w:t>
            </w:r>
            <w:r w:rsidR="00824127" w:rsidRPr="00600AFD">
              <w:rPr>
                <w:rFonts w:ascii="Times New Roman" w:eastAsia="Calibri" w:hAnsi="Times New Roman" w:cs="Times New Roman"/>
                <w:szCs w:val="24"/>
              </w:rPr>
              <w:t>appointed by</w:t>
            </w:r>
            <w:r w:rsidR="005F3FED" w:rsidRPr="00600AFD">
              <w:rPr>
                <w:rFonts w:ascii="Times New Roman" w:eastAsia="Calibri" w:hAnsi="Times New Roman" w:cs="Times New Roman"/>
                <w:szCs w:val="24"/>
              </w:rPr>
              <w:t xml:space="preserve"> </w:t>
            </w:r>
            <w:r w:rsidR="00072F24" w:rsidRPr="00600AFD">
              <w:rPr>
                <w:rFonts w:ascii="Times New Roman" w:eastAsia="Calibri" w:hAnsi="Times New Roman" w:cs="Times New Roman"/>
                <w:szCs w:val="24"/>
              </w:rPr>
              <w:t>the High Court Council and the State Prosecutorial Council</w:t>
            </w:r>
            <w:r w:rsidR="005F3FED" w:rsidRPr="00600AFD">
              <w:rPr>
                <w:rFonts w:ascii="Times New Roman" w:eastAsia="Calibri" w:hAnsi="Times New Roman" w:cs="Times New Roman"/>
                <w:szCs w:val="24"/>
              </w:rPr>
              <w:t xml:space="preserve"> for effective enforcement of competencies in the process of establishing </w:t>
            </w:r>
            <w:r w:rsidR="00D85FDA" w:rsidRPr="00600AFD">
              <w:rPr>
                <w:rFonts w:ascii="Times New Roman" w:eastAsia="Calibri" w:hAnsi="Times New Roman" w:cs="Times New Roman"/>
                <w:szCs w:val="24"/>
              </w:rPr>
              <w:t xml:space="preserve">violations of provisions contained in the </w:t>
            </w:r>
            <w:r w:rsidR="00761B0F" w:rsidRPr="00600AFD">
              <w:rPr>
                <w:rFonts w:ascii="Times New Roman" w:eastAsia="Calibri" w:hAnsi="Times New Roman" w:cs="Times New Roman"/>
                <w:szCs w:val="24"/>
              </w:rPr>
              <w:t xml:space="preserve">ethical </w:t>
            </w:r>
            <w:r w:rsidR="00D85FDA" w:rsidRPr="00600AFD">
              <w:rPr>
                <w:rFonts w:ascii="Times New Roman" w:eastAsia="Calibri" w:hAnsi="Times New Roman" w:cs="Times New Roman"/>
                <w:szCs w:val="24"/>
              </w:rPr>
              <w:t xml:space="preserve">codes </w:t>
            </w:r>
            <w:r w:rsidR="00761B0F" w:rsidRPr="00600AFD">
              <w:rPr>
                <w:rFonts w:ascii="Times New Roman" w:eastAsia="Calibri" w:hAnsi="Times New Roman" w:cs="Times New Roman"/>
                <w:szCs w:val="24"/>
              </w:rPr>
              <w:t>of conduct and advancement of their capacities as confidential</w:t>
            </w:r>
            <w:r w:rsidR="00C10AFE" w:rsidRPr="00600AFD">
              <w:rPr>
                <w:rFonts w:ascii="Times New Roman" w:eastAsia="Calibri" w:hAnsi="Times New Roman" w:cs="Times New Roman"/>
                <w:szCs w:val="24"/>
              </w:rPr>
              <w:t xml:space="preserve"> and advisory bodies; </w:t>
            </w:r>
          </w:p>
        </w:tc>
      </w:tr>
      <w:tr w:rsidR="0087783D" w:rsidRPr="00600AFD" w14:paraId="14F5009C" w14:textId="77777777" w:rsidTr="00C55662">
        <w:tc>
          <w:tcPr>
            <w:tcW w:w="625" w:type="dxa"/>
            <w:shd w:val="clear" w:color="auto" w:fill="D9E2F3"/>
          </w:tcPr>
          <w:p w14:paraId="41BD8821" w14:textId="77777777" w:rsidR="0087783D" w:rsidRPr="00600AFD" w:rsidRDefault="00C10AFE"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6</w:t>
            </w:r>
          </w:p>
        </w:tc>
        <w:tc>
          <w:tcPr>
            <w:tcW w:w="8725" w:type="dxa"/>
          </w:tcPr>
          <w:p w14:paraId="1F1C1F99" w14:textId="77777777" w:rsidR="0087783D" w:rsidRPr="00600AFD" w:rsidRDefault="007E3A8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Raise awareness, </w:t>
            </w:r>
            <w:r w:rsidR="00C10AFE" w:rsidRPr="00600AFD">
              <w:rPr>
                <w:rFonts w:ascii="Times New Roman" w:eastAsia="Calibri" w:hAnsi="Times New Roman" w:cs="Times New Roman"/>
                <w:szCs w:val="24"/>
              </w:rPr>
              <w:t xml:space="preserve">advance </w:t>
            </w:r>
            <w:r w:rsidRPr="00600AFD">
              <w:rPr>
                <w:rFonts w:ascii="Times New Roman" w:eastAsia="Calibri" w:hAnsi="Times New Roman" w:cs="Times New Roman"/>
                <w:szCs w:val="24"/>
              </w:rPr>
              <w:t>knowledge and strengthen capacities of judges, public prosecutors and judicial and prosecutorial assistants in the field of ethics, integrity and disciplinary liability;</w:t>
            </w:r>
          </w:p>
        </w:tc>
      </w:tr>
      <w:tr w:rsidR="0087783D" w:rsidRPr="00600AFD" w14:paraId="2611C526" w14:textId="77777777" w:rsidTr="00C55662">
        <w:tc>
          <w:tcPr>
            <w:tcW w:w="625" w:type="dxa"/>
            <w:shd w:val="clear" w:color="auto" w:fill="D9E2F3"/>
          </w:tcPr>
          <w:p w14:paraId="162513DA" w14:textId="77777777" w:rsidR="0087783D" w:rsidRPr="00600AFD" w:rsidRDefault="00BA4EC0"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7</w:t>
            </w:r>
          </w:p>
        </w:tc>
        <w:tc>
          <w:tcPr>
            <w:tcW w:w="8725" w:type="dxa"/>
          </w:tcPr>
          <w:p w14:paraId="277747FF" w14:textId="77777777" w:rsidR="0087783D" w:rsidRPr="00600AFD" w:rsidRDefault="0087783D"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Further </w:t>
            </w:r>
            <w:r w:rsidR="00BA4EC0" w:rsidRPr="00600AFD">
              <w:rPr>
                <w:rFonts w:ascii="Times New Roman" w:eastAsia="Calibri" w:hAnsi="Times New Roman" w:cs="Times New Roman"/>
                <w:szCs w:val="24"/>
              </w:rPr>
              <w:t xml:space="preserve">advancement of </w:t>
            </w:r>
            <w:r w:rsidRPr="00600AFD">
              <w:rPr>
                <w:rFonts w:ascii="Times New Roman" w:eastAsia="Calibri" w:hAnsi="Times New Roman" w:cs="Times New Roman"/>
                <w:szCs w:val="24"/>
              </w:rPr>
              <w:t>the system of accountability of those employed in the judiciary and the representatives of judicial professions.</w:t>
            </w:r>
          </w:p>
        </w:tc>
      </w:tr>
    </w:tbl>
    <w:p w14:paraId="585C92A6" w14:textId="77777777" w:rsidR="000541C2" w:rsidRDefault="000541C2" w:rsidP="000541C2">
      <w:pPr>
        <w:pStyle w:val="Heading1"/>
        <w:rPr>
          <w:rFonts w:ascii="Times New Roman" w:hAnsi="Times New Roman"/>
          <w:b/>
        </w:rPr>
      </w:pPr>
      <w:bookmarkStart w:id="9" w:name="_Toc39707751"/>
    </w:p>
    <w:p w14:paraId="39BE7B63" w14:textId="77777777" w:rsidR="000541C2" w:rsidRDefault="000541C2">
      <w:pPr>
        <w:spacing w:line="259" w:lineRule="auto"/>
        <w:jc w:val="left"/>
        <w:rPr>
          <w:rFonts w:ascii="Times New Roman" w:eastAsia="Calibri" w:hAnsi="Times New Roman" w:cs="Times New Roman"/>
          <w:b/>
          <w:bCs/>
          <w:sz w:val="28"/>
          <w:szCs w:val="24"/>
        </w:rPr>
      </w:pPr>
      <w:r>
        <w:rPr>
          <w:rFonts w:ascii="Times New Roman" w:hAnsi="Times New Roman"/>
          <w:b/>
        </w:rPr>
        <w:br w:type="page"/>
      </w:r>
    </w:p>
    <w:p w14:paraId="12C50F89" w14:textId="7272D0BB" w:rsidR="0087783D" w:rsidRPr="000541C2" w:rsidRDefault="00D47A5C" w:rsidP="000541C2">
      <w:pPr>
        <w:pStyle w:val="Heading1"/>
        <w:numPr>
          <w:ilvl w:val="1"/>
          <w:numId w:val="5"/>
        </w:numPr>
        <w:rPr>
          <w:rFonts w:ascii="Times New Roman" w:hAnsi="Times New Roman"/>
          <w:b/>
          <w:sz w:val="24"/>
        </w:rPr>
      </w:pPr>
      <w:r w:rsidRPr="000541C2">
        <w:rPr>
          <w:rFonts w:ascii="Times New Roman" w:hAnsi="Times New Roman"/>
          <w:b/>
          <w:sz w:val="24"/>
        </w:rPr>
        <w:lastRenderedPageBreak/>
        <w:t>Professional competence of judiciary</w:t>
      </w:r>
      <w:bookmarkEnd w:id="9"/>
      <w:r w:rsidRPr="000541C2">
        <w:rPr>
          <w:rFonts w:ascii="Times New Roman" w:hAnsi="Times New Roman"/>
          <w:b/>
          <w:sz w:val="24"/>
        </w:rPr>
        <w:t xml:space="preserve"> </w:t>
      </w:r>
    </w:p>
    <w:p w14:paraId="2CF1AE3F" w14:textId="4551F04A"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The importance of adequate professional preparation for a judicial office, as well as the continuous improvement of knowledge and skills required for its efficient performance a</w:t>
      </w:r>
      <w:r w:rsidR="00626521" w:rsidRPr="00600AFD">
        <w:rPr>
          <w:rFonts w:ascii="Times New Roman" w:eastAsia="Calibri" w:hAnsi="Times New Roman" w:cs="Times New Roman"/>
          <w:szCs w:val="24"/>
        </w:rPr>
        <w:t>long with</w:t>
      </w:r>
      <w:r w:rsidRPr="00600AFD">
        <w:rPr>
          <w:rFonts w:ascii="Times New Roman" w:eastAsia="Calibri" w:hAnsi="Times New Roman" w:cs="Times New Roman"/>
          <w:szCs w:val="24"/>
        </w:rPr>
        <w:t xml:space="preserve"> by the provision of adequate working conditions, has been recognized and clearly defined in numerous international documents containing European standards in the field of organization and functioning of the judiciary. </w:t>
      </w:r>
      <w:r w:rsidR="006B4C28" w:rsidRPr="00600AFD">
        <w:rPr>
          <w:rFonts w:ascii="Times New Roman" w:eastAsia="Calibri" w:hAnsi="Times New Roman" w:cs="Times New Roman"/>
          <w:szCs w:val="24"/>
        </w:rPr>
        <w:t>Through c</w:t>
      </w:r>
      <w:r w:rsidRPr="00600AFD">
        <w:rPr>
          <w:rFonts w:ascii="Times New Roman" w:eastAsia="Calibri" w:hAnsi="Times New Roman" w:cs="Times New Roman"/>
          <w:szCs w:val="24"/>
        </w:rPr>
        <w:t xml:space="preserve">ontinuous improvement of the level of expertise of the </w:t>
      </w:r>
      <w:r w:rsidR="00734DD4" w:rsidRPr="00600AFD">
        <w:rPr>
          <w:rFonts w:ascii="Times New Roman" w:eastAsia="Calibri" w:hAnsi="Times New Roman" w:cs="Times New Roman"/>
          <w:szCs w:val="24"/>
        </w:rPr>
        <w:t>judicial office holders</w:t>
      </w:r>
      <w:r w:rsidRPr="00600AFD">
        <w:rPr>
          <w:rFonts w:ascii="Times New Roman" w:eastAsia="Calibri" w:hAnsi="Times New Roman" w:cs="Times New Roman"/>
          <w:szCs w:val="24"/>
        </w:rPr>
        <w:t xml:space="preserve">, their independence, impartiality and accountability are </w:t>
      </w:r>
      <w:r w:rsidR="006B4C28" w:rsidRPr="00600AFD">
        <w:rPr>
          <w:rFonts w:ascii="Times New Roman" w:eastAsia="Calibri" w:hAnsi="Times New Roman" w:cs="Times New Roman"/>
          <w:szCs w:val="24"/>
        </w:rPr>
        <w:t>manifesting</w:t>
      </w:r>
      <w:r w:rsidRPr="00600AFD">
        <w:rPr>
          <w:rFonts w:ascii="Times New Roman" w:eastAsia="Calibri" w:hAnsi="Times New Roman" w:cs="Times New Roman"/>
          <w:szCs w:val="24"/>
        </w:rPr>
        <w:t xml:space="preserve"> their full </w:t>
      </w:r>
      <w:r w:rsidR="006B4C28" w:rsidRPr="00600AFD">
        <w:rPr>
          <w:rFonts w:ascii="Times New Roman" w:eastAsia="Calibri" w:hAnsi="Times New Roman" w:cs="Times New Roman"/>
          <w:szCs w:val="24"/>
        </w:rPr>
        <w:t>meaning</w:t>
      </w:r>
      <w:r w:rsidRPr="00600AFD">
        <w:rPr>
          <w:rFonts w:ascii="Times New Roman" w:eastAsia="Calibri" w:hAnsi="Times New Roman" w:cs="Times New Roman"/>
          <w:szCs w:val="24"/>
        </w:rPr>
        <w:t xml:space="preserve">. Their expertise is </w:t>
      </w:r>
      <w:r w:rsidR="000541C2" w:rsidRPr="00600AFD">
        <w:rPr>
          <w:rFonts w:ascii="Times New Roman" w:eastAsia="Calibri" w:hAnsi="Times New Roman" w:cs="Times New Roman"/>
          <w:szCs w:val="24"/>
        </w:rPr>
        <w:t>the</w:t>
      </w:r>
      <w:r w:rsidRPr="00600AFD">
        <w:rPr>
          <w:rFonts w:ascii="Times New Roman" w:eastAsia="Calibri" w:hAnsi="Times New Roman" w:cs="Times New Roman"/>
          <w:szCs w:val="24"/>
        </w:rPr>
        <w:t xml:space="preserve"> driving </w:t>
      </w:r>
      <w:r w:rsidR="006937C8" w:rsidRPr="00600AFD">
        <w:rPr>
          <w:rFonts w:ascii="Times New Roman" w:eastAsia="Calibri" w:hAnsi="Times New Roman" w:cs="Times New Roman"/>
          <w:szCs w:val="24"/>
        </w:rPr>
        <w:t xml:space="preserve">force </w:t>
      </w:r>
      <w:r w:rsidRPr="00600AFD">
        <w:rPr>
          <w:rFonts w:ascii="Times New Roman" w:eastAsia="Calibri" w:hAnsi="Times New Roman" w:cs="Times New Roman"/>
          <w:szCs w:val="24"/>
        </w:rPr>
        <w:t>behind the reforms, not just the subject of them.</w:t>
      </w:r>
    </w:p>
    <w:p w14:paraId="4EB6788F" w14:textId="467DF9AC"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In Chapter 6 of the Recommendation CM/Rec (2010)12 of the Committee of Ministers of the Council of Europe, which regulates the status of judges, it is thus stipulated that judges need to be provided with theoretical and practical initial and continuous professional development, entirely at the expense of the State, which should include economic, social and cultural issues necessary for the exercise of judicial office. The intensity and duration of such training should be determined depending on previous professional experience, whereby an independent </w:t>
      </w:r>
      <w:r w:rsidR="006B4C28" w:rsidRPr="00600AFD">
        <w:rPr>
          <w:rFonts w:ascii="Times New Roman" w:eastAsia="Calibri" w:hAnsi="Times New Roman" w:cs="Times New Roman"/>
          <w:szCs w:val="24"/>
        </w:rPr>
        <w:t>authority</w:t>
      </w:r>
      <w:r w:rsidRPr="00600AFD">
        <w:rPr>
          <w:rFonts w:ascii="Times New Roman" w:eastAsia="Calibri" w:hAnsi="Times New Roman" w:cs="Times New Roman"/>
          <w:szCs w:val="24"/>
        </w:rPr>
        <w:t xml:space="preserve"> should ensure, </w:t>
      </w:r>
      <w:r w:rsidR="006B4C28" w:rsidRPr="00600AFD">
        <w:rPr>
          <w:rFonts w:ascii="Times New Roman" w:eastAsia="Calibri" w:hAnsi="Times New Roman" w:cs="Times New Roman"/>
          <w:szCs w:val="24"/>
        </w:rPr>
        <w:t>in full compliance with educational autonomy, that initial and in</w:t>
      </w:r>
      <w:r w:rsidR="000F3999">
        <w:rPr>
          <w:rFonts w:ascii="Times New Roman" w:eastAsia="Calibri" w:hAnsi="Times New Roman" w:cs="Times New Roman"/>
          <w:szCs w:val="24"/>
        </w:rPr>
        <w:t>–</w:t>
      </w:r>
      <w:r w:rsidR="006B4C28" w:rsidRPr="00600AFD">
        <w:rPr>
          <w:rFonts w:ascii="Times New Roman" w:eastAsia="Calibri" w:hAnsi="Times New Roman" w:cs="Times New Roman"/>
          <w:szCs w:val="24"/>
        </w:rPr>
        <w:t xml:space="preserve">service training </w:t>
      </w:r>
      <w:r w:rsidR="00867F46" w:rsidRPr="00600AFD">
        <w:rPr>
          <w:rFonts w:ascii="Times New Roman" w:eastAsia="Calibri" w:hAnsi="Times New Roman" w:cs="Times New Roman"/>
          <w:szCs w:val="24"/>
        </w:rPr>
        <w:t>programs</w:t>
      </w:r>
      <w:r w:rsidR="006B4C28" w:rsidRPr="00600AFD">
        <w:rPr>
          <w:rFonts w:ascii="Times New Roman" w:eastAsia="Calibri" w:hAnsi="Times New Roman" w:cs="Times New Roman"/>
          <w:szCs w:val="24"/>
        </w:rPr>
        <w:t xml:space="preserve"> meet the requirements of openness, competence, and impartiality inherent </w:t>
      </w:r>
      <w:r w:rsidR="00DC15D5" w:rsidRPr="00600AFD">
        <w:rPr>
          <w:rFonts w:ascii="Times New Roman" w:eastAsia="Calibri" w:hAnsi="Times New Roman" w:cs="Times New Roman"/>
          <w:szCs w:val="24"/>
        </w:rPr>
        <w:t>in judicial office.</w:t>
      </w:r>
      <w:r w:rsidRPr="00600AFD">
        <w:rPr>
          <w:rFonts w:ascii="Times New Roman" w:eastAsia="Calibri" w:hAnsi="Times New Roman" w:cs="Times New Roman"/>
          <w:szCs w:val="24"/>
        </w:rPr>
        <w:t xml:space="preserve"> The same recommendation envisages a duty of judges to regularly renew and expand their professional knowledge.</w:t>
      </w:r>
    </w:p>
    <w:p w14:paraId="493BDF57" w14:textId="77777777" w:rsidR="0087783D" w:rsidRPr="00600AFD" w:rsidRDefault="0087783D" w:rsidP="0087783D">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The obligation to develop professionally is contained also in Recommendation Rec 2000/19 of the Committee of Ministers of the Council of Europe (paragraph 7), which </w:t>
      </w:r>
      <w:r w:rsidR="008A52CC" w:rsidRPr="00600AFD">
        <w:rPr>
          <w:rFonts w:ascii="Times New Roman" w:eastAsia="Calibri" w:hAnsi="Times New Roman" w:cs="Times New Roman"/>
          <w:szCs w:val="24"/>
        </w:rPr>
        <w:t xml:space="preserve">reads </w:t>
      </w:r>
      <w:r w:rsidRPr="00600AFD">
        <w:rPr>
          <w:rFonts w:ascii="Times New Roman" w:eastAsia="Calibri" w:hAnsi="Times New Roman" w:cs="Times New Roman"/>
          <w:szCs w:val="24"/>
        </w:rPr>
        <w:t xml:space="preserve">that </w:t>
      </w:r>
      <w:r w:rsidR="00DC15D5" w:rsidRPr="00600AFD">
        <w:rPr>
          <w:rFonts w:ascii="Times New Roman" w:hAnsi="Times New Roman" w:cs="Times New Roman"/>
          <w:szCs w:val="24"/>
        </w:rPr>
        <w:t>training is both a duty and a right for all public prosecutors, before their appointment as well as on a permanent basis.</w:t>
      </w:r>
      <w:r w:rsidRPr="00600AFD">
        <w:rPr>
          <w:rFonts w:ascii="Times New Roman" w:eastAsia="Calibri" w:hAnsi="Times New Roman" w:cs="Times New Roman"/>
          <w:szCs w:val="24"/>
        </w:rPr>
        <w:t xml:space="preserve"> </w:t>
      </w:r>
      <w:r w:rsidR="00DC15D5" w:rsidRPr="00600AFD">
        <w:rPr>
          <w:rFonts w:ascii="Times New Roman" w:hAnsi="Times New Roman" w:cs="Times New Roman"/>
          <w:szCs w:val="24"/>
        </w:rPr>
        <w:t>States should therefore take effective measures to ensure that public prosecutors have appropriate education and training, both before and after their appointment</w:t>
      </w:r>
      <w:r w:rsidRPr="00600AFD">
        <w:rPr>
          <w:rFonts w:ascii="Times New Roman" w:eastAsia="Calibri" w:hAnsi="Times New Roman" w:cs="Times New Roman"/>
          <w:szCs w:val="24"/>
        </w:rPr>
        <w:t>.</w:t>
      </w:r>
      <w:r w:rsidRPr="00600AFD">
        <w:rPr>
          <w:rFonts w:ascii="Times New Roman" w:eastAsia="Calibri" w:hAnsi="Times New Roman" w:cs="Times New Roman"/>
          <w:szCs w:val="24"/>
          <w:vertAlign w:val="superscript"/>
        </w:rPr>
        <w:footnoteReference w:id="24"/>
      </w:r>
      <w:r w:rsidRPr="00600AFD">
        <w:rPr>
          <w:rFonts w:ascii="Times New Roman" w:eastAsia="Calibri" w:hAnsi="Times New Roman" w:cs="Times New Roman"/>
          <w:szCs w:val="24"/>
        </w:rPr>
        <w:t xml:space="preserve"> </w:t>
      </w:r>
    </w:p>
    <w:p w14:paraId="18F3DAD5" w14:textId="77777777" w:rsidR="007E3A88" w:rsidRPr="00600AFD" w:rsidRDefault="007E3A88"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In its Opinion no. 4, the Consultative Council of European Judges (CCJE) also deals with the importance of professionalization of judges </w:t>
      </w:r>
      <w:r w:rsidR="00C5594E" w:rsidRPr="00600AFD">
        <w:rPr>
          <w:rFonts w:ascii="Times New Roman" w:eastAsia="Calibri" w:hAnsi="Times New Roman" w:cs="Times New Roman"/>
          <w:szCs w:val="24"/>
        </w:rPr>
        <w:t xml:space="preserve">for the </w:t>
      </w:r>
      <w:r w:rsidRPr="00600AFD">
        <w:rPr>
          <w:rFonts w:ascii="Times New Roman" w:eastAsia="Calibri" w:hAnsi="Times New Roman" w:cs="Times New Roman"/>
          <w:szCs w:val="24"/>
        </w:rPr>
        <w:t>quality of</w:t>
      </w:r>
      <w:r w:rsidR="005D23C0" w:rsidRPr="00600AFD">
        <w:rPr>
          <w:rFonts w:ascii="Times New Roman" w:eastAsia="Calibri" w:hAnsi="Times New Roman" w:cs="Times New Roman"/>
          <w:szCs w:val="24"/>
        </w:rPr>
        <w:t xml:space="preserve"> the</w:t>
      </w:r>
      <w:r w:rsidRPr="00600AFD">
        <w:rPr>
          <w:rFonts w:ascii="Times New Roman" w:eastAsia="Calibri" w:hAnsi="Times New Roman" w:cs="Times New Roman"/>
          <w:szCs w:val="24"/>
        </w:rPr>
        <w:t xml:space="preserve"> </w:t>
      </w:r>
      <w:r w:rsidR="00C5594E" w:rsidRPr="00600AFD">
        <w:rPr>
          <w:rFonts w:ascii="Times New Roman" w:eastAsia="Calibri" w:hAnsi="Times New Roman" w:cs="Times New Roman"/>
          <w:szCs w:val="24"/>
        </w:rPr>
        <w:t>judiciary</w:t>
      </w:r>
      <w:r w:rsidRPr="00600AFD">
        <w:rPr>
          <w:rFonts w:ascii="Times New Roman" w:eastAsia="Calibri" w:hAnsi="Times New Roman" w:cs="Times New Roman"/>
          <w:szCs w:val="24"/>
        </w:rPr>
        <w:t>.</w:t>
      </w:r>
      <w:r w:rsidRPr="00600AFD">
        <w:rPr>
          <w:rFonts w:ascii="Times New Roman" w:eastAsia="Calibri" w:hAnsi="Times New Roman" w:cs="Times New Roman"/>
          <w:szCs w:val="24"/>
          <w:vertAlign w:val="superscript"/>
        </w:rPr>
        <w:footnoteReference w:id="25"/>
      </w:r>
    </w:p>
    <w:p w14:paraId="5E1EE921" w14:textId="55D554DB" w:rsidR="0087783D" w:rsidRPr="00600AFD" w:rsidRDefault="00DC197F"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lastRenderedPageBreak/>
        <w:t>Over the course of</w:t>
      </w:r>
      <w:r w:rsidR="0087783D" w:rsidRPr="00600AFD">
        <w:rPr>
          <w:rFonts w:ascii="Times New Roman" w:eastAsia="Calibri" w:hAnsi="Times New Roman" w:cs="Times New Roman"/>
          <w:szCs w:val="24"/>
        </w:rPr>
        <w:t xml:space="preserve"> the implementation of the 2013</w:t>
      </w:r>
      <w:r w:rsidR="000F3999">
        <w:rPr>
          <w:rFonts w:ascii="Times New Roman" w:eastAsia="Calibri" w:hAnsi="Times New Roman" w:cs="Times New Roman"/>
          <w:szCs w:val="24"/>
        </w:rPr>
        <w:t>–</w:t>
      </w:r>
      <w:r w:rsidR="0087783D" w:rsidRPr="00600AFD">
        <w:rPr>
          <w:rFonts w:ascii="Times New Roman" w:eastAsia="Calibri" w:hAnsi="Times New Roman" w:cs="Times New Roman"/>
          <w:szCs w:val="24"/>
        </w:rPr>
        <w:t>2018 N</w:t>
      </w:r>
      <w:r w:rsidR="009C7FF0" w:rsidRPr="00600AFD">
        <w:rPr>
          <w:rFonts w:ascii="Times New Roman" w:eastAsia="Calibri" w:hAnsi="Times New Roman" w:cs="Times New Roman"/>
          <w:szCs w:val="24"/>
        </w:rPr>
        <w:t>JRS</w:t>
      </w:r>
      <w:r w:rsidR="0087783D" w:rsidRPr="00600AFD">
        <w:rPr>
          <w:rFonts w:ascii="Times New Roman" w:eastAsia="Calibri" w:hAnsi="Times New Roman" w:cs="Times New Roman"/>
          <w:szCs w:val="24"/>
        </w:rPr>
        <w:t xml:space="preserve">, significant efforts have been made to improve the expertise of </w:t>
      </w:r>
      <w:r w:rsidR="00734DD4" w:rsidRPr="00600AFD">
        <w:rPr>
          <w:rFonts w:ascii="Times New Roman" w:eastAsia="Calibri" w:hAnsi="Times New Roman" w:cs="Times New Roman"/>
          <w:szCs w:val="24"/>
        </w:rPr>
        <w:t>judicial office holders</w:t>
      </w:r>
      <w:r w:rsidR="0087783D" w:rsidRPr="00600AFD">
        <w:rPr>
          <w:rFonts w:ascii="Times New Roman" w:eastAsia="Calibri" w:hAnsi="Times New Roman" w:cs="Times New Roman"/>
          <w:szCs w:val="24"/>
        </w:rPr>
        <w:t>, and to provide training for representatives of new judicial professions such as notaries</w:t>
      </w:r>
      <w:r w:rsidR="00B14AFD" w:rsidRPr="00600AFD">
        <w:rPr>
          <w:rFonts w:ascii="Times New Roman" w:eastAsia="Calibri" w:hAnsi="Times New Roman" w:cs="Times New Roman"/>
          <w:szCs w:val="24"/>
        </w:rPr>
        <w:t xml:space="preserve"> public</w:t>
      </w:r>
      <w:r w:rsidR="0087783D" w:rsidRPr="00600AFD">
        <w:rPr>
          <w:rFonts w:ascii="Times New Roman" w:eastAsia="Calibri" w:hAnsi="Times New Roman" w:cs="Times New Roman"/>
          <w:szCs w:val="24"/>
        </w:rPr>
        <w:t xml:space="preserve">, </w:t>
      </w:r>
      <w:r w:rsidR="00654C03" w:rsidRPr="00600AFD">
        <w:rPr>
          <w:rFonts w:ascii="Times New Roman" w:eastAsia="Calibri" w:hAnsi="Times New Roman" w:cs="Times New Roman"/>
          <w:szCs w:val="24"/>
        </w:rPr>
        <w:t>public enforcement officers</w:t>
      </w:r>
      <w:r w:rsidR="005D23C0" w:rsidRPr="00600AFD">
        <w:rPr>
          <w:rFonts w:ascii="Times New Roman" w:eastAsia="Calibri" w:hAnsi="Times New Roman" w:cs="Times New Roman"/>
          <w:szCs w:val="24"/>
        </w:rPr>
        <w:t>,</w:t>
      </w:r>
      <w:r w:rsidR="0087783D" w:rsidRPr="00600AFD">
        <w:rPr>
          <w:rFonts w:ascii="Times New Roman" w:eastAsia="Calibri" w:hAnsi="Times New Roman" w:cs="Times New Roman"/>
          <w:szCs w:val="24"/>
        </w:rPr>
        <w:t xml:space="preserve"> and mediators, as well as a large number of </w:t>
      </w:r>
      <w:r w:rsidR="00DC15D5" w:rsidRPr="00600AFD">
        <w:rPr>
          <w:rFonts w:ascii="Times New Roman" w:eastAsia="Calibri" w:hAnsi="Times New Roman" w:cs="Times New Roman"/>
          <w:szCs w:val="24"/>
        </w:rPr>
        <w:t>judicial staff</w:t>
      </w:r>
      <w:r w:rsidR="0087783D" w:rsidRPr="00600AFD">
        <w:rPr>
          <w:rFonts w:ascii="Times New Roman" w:eastAsia="Calibri" w:hAnsi="Times New Roman" w:cs="Times New Roman"/>
          <w:szCs w:val="24"/>
        </w:rPr>
        <w:t xml:space="preserve">. The Judicial Academy has adopted numerous internal documents regulating its training programs and the implementation of training, thus continuously contributing to </w:t>
      </w:r>
      <w:r w:rsidR="00B14AFD" w:rsidRPr="00600AFD">
        <w:rPr>
          <w:rFonts w:ascii="Times New Roman" w:eastAsia="Calibri" w:hAnsi="Times New Roman" w:cs="Times New Roman"/>
          <w:szCs w:val="24"/>
        </w:rPr>
        <w:t xml:space="preserve">advancement in </w:t>
      </w:r>
      <w:r w:rsidR="0087783D" w:rsidRPr="00600AFD">
        <w:rPr>
          <w:rFonts w:ascii="Times New Roman" w:eastAsia="Calibri" w:hAnsi="Times New Roman" w:cs="Times New Roman"/>
          <w:szCs w:val="24"/>
        </w:rPr>
        <w:t>quality, competence</w:t>
      </w:r>
      <w:r w:rsidR="005D23C0" w:rsidRPr="00600AFD">
        <w:rPr>
          <w:rFonts w:ascii="Times New Roman" w:eastAsia="Calibri" w:hAnsi="Times New Roman" w:cs="Times New Roman"/>
          <w:szCs w:val="24"/>
        </w:rPr>
        <w:t>,</w:t>
      </w:r>
      <w:r w:rsidR="0087783D" w:rsidRPr="00600AFD">
        <w:rPr>
          <w:rFonts w:ascii="Times New Roman" w:eastAsia="Calibri" w:hAnsi="Times New Roman" w:cs="Times New Roman"/>
          <w:szCs w:val="24"/>
        </w:rPr>
        <w:t xml:space="preserve"> </w:t>
      </w:r>
      <w:r w:rsidR="00DC0ACC" w:rsidRPr="00600AFD">
        <w:rPr>
          <w:rFonts w:ascii="Times New Roman" w:eastAsia="Calibri" w:hAnsi="Times New Roman" w:cs="Times New Roman"/>
          <w:szCs w:val="24"/>
        </w:rPr>
        <w:t xml:space="preserve">and capability </w:t>
      </w:r>
      <w:r w:rsidR="0087783D" w:rsidRPr="00600AFD">
        <w:rPr>
          <w:rFonts w:ascii="Times New Roman" w:eastAsia="Calibri" w:hAnsi="Times New Roman" w:cs="Times New Roman"/>
          <w:szCs w:val="24"/>
        </w:rPr>
        <w:t>of the judiciary.</w:t>
      </w:r>
    </w:p>
    <w:p w14:paraId="62E28954"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A significant </w:t>
      </w:r>
      <w:r w:rsidR="00DC15D5" w:rsidRPr="00600AFD">
        <w:rPr>
          <w:rFonts w:ascii="Times New Roman" w:eastAsia="Calibri" w:hAnsi="Times New Roman" w:cs="Times New Roman"/>
          <w:szCs w:val="24"/>
        </w:rPr>
        <w:t>improvement</w:t>
      </w:r>
      <w:r w:rsidRPr="00600AFD">
        <w:rPr>
          <w:rFonts w:ascii="Times New Roman" w:eastAsia="Calibri" w:hAnsi="Times New Roman" w:cs="Times New Roman"/>
          <w:szCs w:val="24"/>
        </w:rPr>
        <w:t xml:space="preserve"> was </w:t>
      </w:r>
      <w:r w:rsidR="00DC15D5" w:rsidRPr="00600AFD">
        <w:rPr>
          <w:rFonts w:ascii="Times New Roman" w:eastAsia="Calibri" w:hAnsi="Times New Roman" w:cs="Times New Roman"/>
          <w:szCs w:val="24"/>
        </w:rPr>
        <w:t>achieved</w:t>
      </w:r>
      <w:r w:rsidRPr="00600AFD">
        <w:rPr>
          <w:rFonts w:ascii="Times New Roman" w:eastAsia="Calibri" w:hAnsi="Times New Roman" w:cs="Times New Roman"/>
          <w:szCs w:val="24"/>
        </w:rPr>
        <w:t xml:space="preserve"> with the introduction of a system of selection and training of judicial trainees</w:t>
      </w:r>
      <w:r w:rsidR="009E7EAA" w:rsidRPr="00600AFD">
        <w:rPr>
          <w:rFonts w:ascii="Times New Roman" w:eastAsia="Calibri" w:hAnsi="Times New Roman" w:cs="Times New Roman"/>
          <w:szCs w:val="24"/>
        </w:rPr>
        <w:t xml:space="preserve">, as well as </w:t>
      </w:r>
      <w:r w:rsidRPr="00600AFD">
        <w:rPr>
          <w:rFonts w:ascii="Times New Roman" w:eastAsia="Calibri" w:hAnsi="Times New Roman" w:cs="Times New Roman"/>
          <w:szCs w:val="24"/>
        </w:rPr>
        <w:t xml:space="preserve">clear and measurable criteria for </w:t>
      </w:r>
      <w:r w:rsidR="00440B6B" w:rsidRPr="00600AFD">
        <w:rPr>
          <w:rFonts w:ascii="Times New Roman" w:eastAsia="Calibri" w:hAnsi="Times New Roman" w:cs="Times New Roman"/>
          <w:szCs w:val="24"/>
        </w:rPr>
        <w:t xml:space="preserve">performance appraisal of </w:t>
      </w:r>
      <w:r w:rsidRPr="00600AFD">
        <w:rPr>
          <w:rFonts w:ascii="Times New Roman" w:eastAsia="Calibri" w:hAnsi="Times New Roman" w:cs="Times New Roman"/>
          <w:szCs w:val="24"/>
        </w:rPr>
        <w:t xml:space="preserve">judicial and prosecutorial assistants. Given the tendency </w:t>
      </w:r>
      <w:r w:rsidR="009E7EAA" w:rsidRPr="00600AFD">
        <w:rPr>
          <w:rFonts w:ascii="Times New Roman" w:eastAsia="Calibri" w:hAnsi="Times New Roman" w:cs="Times New Roman"/>
          <w:szCs w:val="24"/>
        </w:rPr>
        <w:t>to</w:t>
      </w:r>
      <w:r w:rsidRPr="00600AFD">
        <w:rPr>
          <w:rFonts w:ascii="Times New Roman" w:eastAsia="Calibri" w:hAnsi="Times New Roman" w:cs="Times New Roman"/>
          <w:szCs w:val="24"/>
        </w:rPr>
        <w:t xml:space="preserve"> establish</w:t>
      </w:r>
      <w:r w:rsidR="009E7EAA" w:rsidRPr="00600AFD">
        <w:rPr>
          <w:rFonts w:ascii="Times New Roman" w:eastAsia="Calibri" w:hAnsi="Times New Roman" w:cs="Times New Roman"/>
          <w:szCs w:val="24"/>
        </w:rPr>
        <w:t xml:space="preserve"> a new judicial profession, i.e. the</w:t>
      </w:r>
      <w:r w:rsidRPr="00600AFD">
        <w:rPr>
          <w:rFonts w:ascii="Times New Roman" w:eastAsia="Calibri" w:hAnsi="Times New Roman" w:cs="Times New Roman"/>
          <w:szCs w:val="24"/>
        </w:rPr>
        <w:t xml:space="preserve"> need to specify </w:t>
      </w:r>
      <w:r w:rsidR="00C226C2" w:rsidRPr="00600AFD">
        <w:rPr>
          <w:rFonts w:ascii="Times New Roman" w:eastAsia="Calibri" w:hAnsi="Times New Roman" w:cs="Times New Roman"/>
          <w:szCs w:val="24"/>
        </w:rPr>
        <w:t>the</w:t>
      </w:r>
      <w:r w:rsidRPr="00600AFD">
        <w:rPr>
          <w:rFonts w:ascii="Times New Roman" w:eastAsia="Calibri" w:hAnsi="Times New Roman" w:cs="Times New Roman"/>
          <w:szCs w:val="24"/>
        </w:rPr>
        <w:t xml:space="preserve"> status, role and responsibility of judicial and prosecutorial assistants more clearly, it is necessary to take appropriate measures to define a special program </w:t>
      </w:r>
      <w:r w:rsidR="00C226C2" w:rsidRPr="00600AFD">
        <w:rPr>
          <w:rFonts w:ascii="Times New Roman" w:eastAsia="Calibri" w:hAnsi="Times New Roman" w:cs="Times New Roman"/>
          <w:szCs w:val="24"/>
        </w:rPr>
        <w:t>for</w:t>
      </w:r>
      <w:r w:rsidRPr="00600AFD">
        <w:rPr>
          <w:rFonts w:ascii="Times New Roman" w:eastAsia="Calibri" w:hAnsi="Times New Roman" w:cs="Times New Roman"/>
          <w:szCs w:val="24"/>
        </w:rPr>
        <w:t xml:space="preserve"> their training.</w:t>
      </w:r>
    </w:p>
    <w:p w14:paraId="27BB3C66" w14:textId="77777777" w:rsidR="0087783D" w:rsidRPr="00600AFD" w:rsidRDefault="0087783D" w:rsidP="0087783D">
      <w:pPr>
        <w:tabs>
          <w:tab w:val="right" w:pos="9355"/>
        </w:tabs>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In its opinion on the Draft Constitutional Amendments, the Venice Commission stated that “</w:t>
      </w:r>
      <w:r w:rsidR="009E7EAA" w:rsidRPr="00600AFD">
        <w:rPr>
          <w:rFonts w:ascii="Times New Roman" w:eastAsia="Calibri" w:hAnsi="Times New Roman" w:cs="Times New Roman"/>
          <w:szCs w:val="24"/>
        </w:rPr>
        <w:t xml:space="preserve">the Judicial Academy’s role as the sole gatekeeper to the judiciary seems well founded with the aspiration and commitment to strengthen the </w:t>
      </w:r>
      <w:r w:rsidR="00150F47" w:rsidRPr="00600AFD">
        <w:rPr>
          <w:rFonts w:ascii="Times New Roman" w:eastAsia="Calibri" w:hAnsi="Times New Roman" w:cs="Times New Roman"/>
          <w:szCs w:val="24"/>
        </w:rPr>
        <w:t>caliber</w:t>
      </w:r>
      <w:r w:rsidR="009E7EAA" w:rsidRPr="00600AFD">
        <w:rPr>
          <w:rFonts w:ascii="Times New Roman" w:eastAsia="Calibri" w:hAnsi="Times New Roman" w:cs="Times New Roman"/>
          <w:szCs w:val="24"/>
        </w:rPr>
        <w:t xml:space="preserve"> and professionalism of judicial and prosecutorial training</w:t>
      </w:r>
      <w:r w:rsidRPr="00600AFD">
        <w:rPr>
          <w:rFonts w:ascii="Times New Roman" w:eastAsia="Calibri" w:hAnsi="Times New Roman" w:cs="Times New Roman"/>
          <w:szCs w:val="24"/>
        </w:rPr>
        <w:t xml:space="preserve">.” The Venice Commission recommended that the Judicial Academy be protected from possible undue influence by </w:t>
      </w:r>
      <w:r w:rsidR="009E7EAA" w:rsidRPr="00600AFD">
        <w:rPr>
          <w:rFonts w:ascii="Times New Roman" w:eastAsia="Calibri" w:hAnsi="Times New Roman" w:cs="Times New Roman"/>
          <w:szCs w:val="24"/>
        </w:rPr>
        <w:t>providing it with a firm status within the Constitution</w:t>
      </w:r>
      <w:r w:rsidRPr="00600AFD">
        <w:rPr>
          <w:rFonts w:ascii="Times New Roman" w:eastAsia="Calibri" w:hAnsi="Times New Roman" w:cs="Times New Roman"/>
          <w:szCs w:val="24"/>
        </w:rPr>
        <w:t>.</w:t>
      </w:r>
    </w:p>
    <w:p w14:paraId="5508E993" w14:textId="0E06E0BE"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According to the interim benchmark, </w:t>
      </w:r>
      <w:r w:rsidR="009E7EAA" w:rsidRPr="00600AFD">
        <w:rPr>
          <w:rFonts w:ascii="Times New Roman" w:eastAsia="Calibri" w:hAnsi="Times New Roman" w:cs="Times New Roman"/>
          <w:szCs w:val="24"/>
        </w:rPr>
        <w:t xml:space="preserve">Serbia </w:t>
      </w:r>
      <w:r w:rsidR="0027695D" w:rsidRPr="00600AFD">
        <w:rPr>
          <w:rFonts w:ascii="Times New Roman" w:eastAsia="Calibri" w:hAnsi="Times New Roman" w:cs="Times New Roman"/>
          <w:szCs w:val="24"/>
        </w:rPr>
        <w:t xml:space="preserve">should </w:t>
      </w:r>
      <w:r w:rsidR="009E7EAA" w:rsidRPr="00600AFD">
        <w:rPr>
          <w:rFonts w:ascii="Times New Roman" w:eastAsia="Calibri" w:hAnsi="Times New Roman" w:cs="Times New Roman"/>
          <w:szCs w:val="24"/>
        </w:rPr>
        <w:t>ensure that the Judicial Academy adopts a multi</w:t>
      </w:r>
      <w:r w:rsidR="000F3999">
        <w:rPr>
          <w:rFonts w:ascii="Times New Roman" w:eastAsia="Calibri" w:hAnsi="Times New Roman" w:cs="Times New Roman"/>
          <w:szCs w:val="24"/>
        </w:rPr>
        <w:t>–</w:t>
      </w:r>
      <w:r w:rsidR="009E7EAA" w:rsidRPr="00600AFD">
        <w:rPr>
          <w:rFonts w:ascii="Times New Roman" w:eastAsia="Calibri" w:hAnsi="Times New Roman" w:cs="Times New Roman"/>
          <w:szCs w:val="24"/>
        </w:rPr>
        <w:t xml:space="preserve">annual work program, covering human and financial resources and a further development of its training program. Serbia </w:t>
      </w:r>
      <w:r w:rsidR="0027695D" w:rsidRPr="00600AFD">
        <w:rPr>
          <w:rFonts w:ascii="Times New Roman" w:eastAsia="Calibri" w:hAnsi="Times New Roman" w:cs="Times New Roman"/>
          <w:szCs w:val="24"/>
        </w:rPr>
        <w:t xml:space="preserve">should </w:t>
      </w:r>
      <w:r w:rsidR="009E7EAA" w:rsidRPr="00600AFD">
        <w:rPr>
          <w:rFonts w:ascii="Times New Roman" w:eastAsia="Calibri" w:hAnsi="Times New Roman" w:cs="Times New Roman"/>
          <w:szCs w:val="24"/>
        </w:rPr>
        <w:t>also provide a sustainable and long</w:t>
      </w:r>
      <w:r w:rsidR="000F3999">
        <w:rPr>
          <w:rFonts w:ascii="Times New Roman" w:eastAsia="Calibri" w:hAnsi="Times New Roman" w:cs="Times New Roman"/>
          <w:szCs w:val="24"/>
        </w:rPr>
        <w:t>–</w:t>
      </w:r>
      <w:r w:rsidR="009E7EAA" w:rsidRPr="00600AFD">
        <w:rPr>
          <w:rFonts w:ascii="Times New Roman" w:eastAsia="Calibri" w:hAnsi="Times New Roman" w:cs="Times New Roman"/>
          <w:szCs w:val="24"/>
        </w:rPr>
        <w:t>term solution for financing the Judicial Academy, appl</w:t>
      </w:r>
      <w:r w:rsidR="005D23C0" w:rsidRPr="00600AFD">
        <w:rPr>
          <w:rFonts w:ascii="Times New Roman" w:eastAsia="Calibri" w:hAnsi="Times New Roman" w:cs="Times New Roman"/>
          <w:szCs w:val="24"/>
        </w:rPr>
        <w:t>y</w:t>
      </w:r>
      <w:r w:rsidR="009E7EAA" w:rsidRPr="00600AFD">
        <w:rPr>
          <w:rFonts w:ascii="Times New Roman" w:eastAsia="Calibri" w:hAnsi="Times New Roman" w:cs="Times New Roman"/>
          <w:szCs w:val="24"/>
        </w:rPr>
        <w:t xml:space="preserve"> a quality control mechanism and regularly</w:t>
      </w:r>
      <w:r w:rsidR="005D23C0" w:rsidRPr="00600AFD">
        <w:rPr>
          <w:rFonts w:ascii="Times New Roman" w:eastAsia="Calibri" w:hAnsi="Times New Roman" w:cs="Times New Roman"/>
          <w:szCs w:val="24"/>
        </w:rPr>
        <w:t>,</w:t>
      </w:r>
      <w:r w:rsidR="009E7EAA" w:rsidRPr="00600AFD">
        <w:rPr>
          <w:rFonts w:ascii="Times New Roman" w:eastAsia="Calibri" w:hAnsi="Times New Roman" w:cs="Times New Roman"/>
          <w:szCs w:val="24"/>
        </w:rPr>
        <w:t xml:space="preserve"> and effectively assesses the impact of the training.</w:t>
      </w:r>
      <w:r w:rsidR="00D055FE" w:rsidRPr="00600AFD">
        <w:rPr>
          <w:rFonts w:ascii="Times New Roman" w:eastAsia="Calibri" w:hAnsi="Times New Roman" w:cs="Times New Roman"/>
          <w:szCs w:val="24"/>
        </w:rPr>
        <w:t xml:space="preserve"> Serbia is to continuously improve the training </w:t>
      </w:r>
      <w:r w:rsidR="00867F46" w:rsidRPr="00600AFD">
        <w:rPr>
          <w:rFonts w:ascii="Times New Roman" w:eastAsia="Calibri" w:hAnsi="Times New Roman" w:cs="Times New Roman"/>
          <w:szCs w:val="24"/>
        </w:rPr>
        <w:t>programs</w:t>
      </w:r>
      <w:r w:rsidR="00D055FE" w:rsidRPr="00600AFD">
        <w:rPr>
          <w:rFonts w:ascii="Times New Roman" w:eastAsia="Calibri" w:hAnsi="Times New Roman" w:cs="Times New Roman"/>
          <w:szCs w:val="24"/>
        </w:rPr>
        <w:t xml:space="preserve">, in line with the </w:t>
      </w:r>
      <w:r w:rsidR="00DD7397" w:rsidRPr="00600AFD">
        <w:rPr>
          <w:rFonts w:ascii="Times New Roman" w:eastAsia="Calibri" w:hAnsi="Times New Roman" w:cs="Times New Roman"/>
          <w:szCs w:val="24"/>
        </w:rPr>
        <w:t xml:space="preserve">results of the performance evaluation for judges and prosecutors, as well as needs outlined in annual training needs assessments (determined on the basis of questionnaires, court’s annual reports, particularly that of the Supreme Court of Cassation and Appellate Courts, focus groups, competence models, and in other ways). </w:t>
      </w:r>
    </w:p>
    <w:p w14:paraId="51F5820B"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Given the significance and role that </w:t>
      </w:r>
      <w:r w:rsidR="009E7EAA" w:rsidRPr="00600AFD">
        <w:rPr>
          <w:rFonts w:ascii="Times New Roman" w:eastAsia="Calibri" w:hAnsi="Times New Roman" w:cs="Times New Roman"/>
          <w:szCs w:val="24"/>
        </w:rPr>
        <w:t xml:space="preserve">the Judicial Academy rightfully claims </w:t>
      </w:r>
      <w:r w:rsidR="00DD7397" w:rsidRPr="00600AFD">
        <w:rPr>
          <w:rFonts w:ascii="Times New Roman" w:eastAsia="Calibri" w:hAnsi="Times New Roman" w:cs="Times New Roman"/>
          <w:szCs w:val="24"/>
        </w:rPr>
        <w:t xml:space="preserve">as </w:t>
      </w:r>
      <w:r w:rsidRPr="00600AFD">
        <w:rPr>
          <w:rFonts w:ascii="Times New Roman" w:eastAsia="Calibri" w:hAnsi="Times New Roman" w:cs="Times New Roman"/>
          <w:szCs w:val="24"/>
        </w:rPr>
        <w:t xml:space="preserve">a result of its </w:t>
      </w:r>
      <w:r w:rsidR="009E7EAA" w:rsidRPr="00600AFD">
        <w:rPr>
          <w:rFonts w:ascii="Times New Roman" w:eastAsia="Calibri" w:hAnsi="Times New Roman" w:cs="Times New Roman"/>
          <w:szCs w:val="24"/>
        </w:rPr>
        <w:t>interventions to date related to</w:t>
      </w:r>
      <w:r w:rsidRPr="00600AFD">
        <w:rPr>
          <w:rFonts w:ascii="Times New Roman" w:eastAsia="Calibri" w:hAnsi="Times New Roman" w:cs="Times New Roman"/>
          <w:szCs w:val="24"/>
        </w:rPr>
        <w:t xml:space="preserve"> improving the expertise of </w:t>
      </w:r>
      <w:r w:rsidR="00734DD4" w:rsidRPr="00600AFD">
        <w:rPr>
          <w:rFonts w:ascii="Times New Roman" w:eastAsia="Calibri" w:hAnsi="Times New Roman" w:cs="Times New Roman"/>
          <w:szCs w:val="24"/>
        </w:rPr>
        <w:t>judicial office holders</w:t>
      </w:r>
      <w:r w:rsidRPr="00600AFD">
        <w:rPr>
          <w:rFonts w:ascii="Times New Roman" w:eastAsia="Calibri" w:hAnsi="Times New Roman" w:cs="Times New Roman"/>
          <w:szCs w:val="24"/>
        </w:rPr>
        <w:t xml:space="preserve"> and people from all judicial professions, great efforts have been invested in strengthening its capacities; however, they need to be continuously </w:t>
      </w:r>
      <w:r w:rsidR="00D055FE" w:rsidRPr="00600AFD">
        <w:rPr>
          <w:rFonts w:ascii="Times New Roman" w:eastAsia="Calibri" w:hAnsi="Times New Roman" w:cs="Times New Roman"/>
          <w:szCs w:val="24"/>
        </w:rPr>
        <w:t xml:space="preserve">improved upon </w:t>
      </w:r>
      <w:r w:rsidRPr="00600AFD">
        <w:rPr>
          <w:rFonts w:ascii="Times New Roman" w:eastAsia="Calibri" w:hAnsi="Times New Roman" w:cs="Times New Roman"/>
          <w:szCs w:val="24"/>
        </w:rPr>
        <w:t xml:space="preserve">in order to </w:t>
      </w:r>
      <w:r w:rsidR="007F533E" w:rsidRPr="00600AFD">
        <w:rPr>
          <w:rFonts w:ascii="Times New Roman" w:eastAsia="Calibri" w:hAnsi="Times New Roman" w:cs="Times New Roman"/>
          <w:szCs w:val="24"/>
        </w:rPr>
        <w:t>create</w:t>
      </w:r>
      <w:r w:rsidRPr="00600AFD">
        <w:rPr>
          <w:rFonts w:ascii="Times New Roman" w:eastAsia="Calibri" w:hAnsi="Times New Roman" w:cs="Times New Roman"/>
          <w:szCs w:val="24"/>
        </w:rPr>
        <w:t xml:space="preserve"> conditions that are necessary </w:t>
      </w:r>
      <w:r w:rsidR="007F533E" w:rsidRPr="00600AFD">
        <w:rPr>
          <w:rFonts w:ascii="Times New Roman" w:eastAsia="Calibri" w:hAnsi="Times New Roman" w:cs="Times New Roman"/>
          <w:szCs w:val="24"/>
        </w:rPr>
        <w:t xml:space="preserve">so that </w:t>
      </w:r>
      <w:r w:rsidR="00D055FE" w:rsidRPr="00600AFD">
        <w:rPr>
          <w:rFonts w:ascii="Times New Roman" w:eastAsia="Calibri" w:hAnsi="Times New Roman" w:cs="Times New Roman"/>
          <w:szCs w:val="24"/>
        </w:rPr>
        <w:t>the Academy</w:t>
      </w:r>
      <w:r w:rsidR="007F533E" w:rsidRPr="00600AFD">
        <w:rPr>
          <w:rFonts w:ascii="Times New Roman" w:eastAsia="Calibri" w:hAnsi="Times New Roman" w:cs="Times New Roman"/>
          <w:szCs w:val="24"/>
        </w:rPr>
        <w:t xml:space="preserve"> would </w:t>
      </w:r>
      <w:r w:rsidRPr="00600AFD">
        <w:rPr>
          <w:rFonts w:ascii="Times New Roman" w:eastAsia="Calibri" w:hAnsi="Times New Roman" w:cs="Times New Roman"/>
          <w:szCs w:val="24"/>
        </w:rPr>
        <w:t xml:space="preserve">be able to </w:t>
      </w:r>
      <w:r w:rsidR="00D055FE" w:rsidRPr="00600AFD">
        <w:rPr>
          <w:rFonts w:ascii="Times New Roman" w:eastAsia="Calibri" w:hAnsi="Times New Roman" w:cs="Times New Roman"/>
          <w:szCs w:val="24"/>
        </w:rPr>
        <w:t>fulfill</w:t>
      </w:r>
      <w:r w:rsidRPr="00600AFD">
        <w:rPr>
          <w:rFonts w:ascii="Times New Roman" w:eastAsia="Calibri" w:hAnsi="Times New Roman" w:cs="Times New Roman"/>
          <w:szCs w:val="24"/>
        </w:rPr>
        <w:t xml:space="preserve"> its </w:t>
      </w:r>
      <w:r w:rsidR="007F533E" w:rsidRPr="00600AFD">
        <w:rPr>
          <w:rFonts w:ascii="Times New Roman" w:eastAsia="Calibri" w:hAnsi="Times New Roman" w:cs="Times New Roman"/>
          <w:szCs w:val="24"/>
        </w:rPr>
        <w:t>designated</w:t>
      </w:r>
      <w:r w:rsidRPr="00600AFD">
        <w:rPr>
          <w:rFonts w:ascii="Times New Roman" w:eastAsia="Calibri" w:hAnsi="Times New Roman" w:cs="Times New Roman"/>
          <w:szCs w:val="24"/>
        </w:rPr>
        <w:t xml:space="preserve"> role </w:t>
      </w:r>
      <w:r w:rsidR="00C51079" w:rsidRPr="00600AFD">
        <w:rPr>
          <w:rFonts w:ascii="Times New Roman" w:eastAsia="Calibri" w:hAnsi="Times New Roman" w:cs="Times New Roman"/>
          <w:szCs w:val="24"/>
        </w:rPr>
        <w:t>to</w:t>
      </w:r>
      <w:r w:rsidRPr="00600AFD">
        <w:rPr>
          <w:rFonts w:ascii="Times New Roman" w:eastAsia="Calibri" w:hAnsi="Times New Roman" w:cs="Times New Roman"/>
          <w:szCs w:val="24"/>
        </w:rPr>
        <w:t xml:space="preserve"> full capacity.</w:t>
      </w:r>
    </w:p>
    <w:p w14:paraId="528AD170"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As regards strengthening the capacities of the Judicial Academy, the institution was </w:t>
      </w:r>
      <w:r w:rsidR="00D41E5C" w:rsidRPr="00600AFD">
        <w:rPr>
          <w:rFonts w:ascii="Times New Roman" w:eastAsia="Calibri" w:hAnsi="Times New Roman" w:cs="Times New Roman"/>
          <w:szCs w:val="24"/>
        </w:rPr>
        <w:t>relocated to</w:t>
      </w:r>
      <w:r w:rsidRPr="00600AFD">
        <w:rPr>
          <w:rFonts w:ascii="Times New Roman" w:eastAsia="Calibri" w:hAnsi="Times New Roman" w:cs="Times New Roman"/>
          <w:szCs w:val="24"/>
        </w:rPr>
        <w:t xml:space="preserve"> a new building, </w:t>
      </w:r>
      <w:r w:rsidR="00D055FE" w:rsidRPr="00600AFD">
        <w:rPr>
          <w:rFonts w:ascii="Times New Roman" w:eastAsia="Calibri" w:hAnsi="Times New Roman" w:cs="Times New Roman"/>
          <w:szCs w:val="24"/>
        </w:rPr>
        <w:t>which is currently under reconstruction.</w:t>
      </w:r>
      <w:r w:rsidRPr="00600AFD">
        <w:rPr>
          <w:rFonts w:ascii="Times New Roman" w:eastAsia="Calibri" w:hAnsi="Times New Roman" w:cs="Times New Roman"/>
          <w:szCs w:val="24"/>
        </w:rPr>
        <w:t xml:space="preserve"> It is expected that the new premises will fully meet its needs.</w:t>
      </w:r>
    </w:p>
    <w:p w14:paraId="32918FAD" w14:textId="4F037DE9"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Also, bearing in mind that the Judicial Academy has adopted the </w:t>
      </w:r>
      <w:r w:rsidR="00D055FE" w:rsidRPr="00600AFD">
        <w:rPr>
          <w:rFonts w:ascii="Times New Roman" w:eastAsia="Calibri" w:hAnsi="Times New Roman" w:cs="Times New Roman"/>
          <w:szCs w:val="24"/>
        </w:rPr>
        <w:t>2016</w:t>
      </w:r>
      <w:r w:rsidR="000F3999">
        <w:rPr>
          <w:rFonts w:ascii="Times New Roman" w:eastAsia="Calibri" w:hAnsi="Times New Roman" w:cs="Times New Roman"/>
          <w:szCs w:val="24"/>
        </w:rPr>
        <w:t>–</w:t>
      </w:r>
      <w:r w:rsidR="00D055FE" w:rsidRPr="00600AFD">
        <w:rPr>
          <w:rFonts w:ascii="Times New Roman" w:eastAsia="Calibri" w:hAnsi="Times New Roman" w:cs="Times New Roman"/>
          <w:szCs w:val="24"/>
        </w:rPr>
        <w:t xml:space="preserve">2020 </w:t>
      </w:r>
      <w:r w:rsidRPr="00600AFD">
        <w:rPr>
          <w:rFonts w:ascii="Times New Roman" w:eastAsia="Calibri" w:hAnsi="Times New Roman" w:cs="Times New Roman"/>
          <w:szCs w:val="24"/>
        </w:rPr>
        <w:t xml:space="preserve">Strategic Plan for Development of the Judicial Academy, it is necessary to provide conditions for its consistent implementation in the </w:t>
      </w:r>
      <w:r w:rsidR="005D23C0" w:rsidRPr="00600AFD">
        <w:rPr>
          <w:rFonts w:ascii="Times New Roman" w:eastAsia="Calibri" w:hAnsi="Times New Roman" w:cs="Times New Roman"/>
          <w:szCs w:val="24"/>
        </w:rPr>
        <w:t>upcoming</w:t>
      </w:r>
      <w:r w:rsidRPr="00600AFD">
        <w:rPr>
          <w:rFonts w:ascii="Times New Roman" w:eastAsia="Calibri" w:hAnsi="Times New Roman" w:cs="Times New Roman"/>
          <w:szCs w:val="24"/>
        </w:rPr>
        <w:t xml:space="preserve"> period.</w:t>
      </w:r>
    </w:p>
    <w:p w14:paraId="1541BF76" w14:textId="17E76552" w:rsidR="0087783D" w:rsidRDefault="0087783D" w:rsidP="0087783D">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lastRenderedPageBreak/>
        <w:t>Given the intensity of social changes</w:t>
      </w:r>
      <w:r w:rsidR="00591A91" w:rsidRPr="00600AFD">
        <w:rPr>
          <w:rFonts w:ascii="Times New Roman" w:eastAsia="Calibri" w:hAnsi="Times New Roman" w:cs="Times New Roman"/>
          <w:szCs w:val="24"/>
        </w:rPr>
        <w:t xml:space="preserve">, as well as </w:t>
      </w:r>
      <w:r w:rsidRPr="00600AFD">
        <w:rPr>
          <w:rFonts w:ascii="Times New Roman" w:eastAsia="Calibri" w:hAnsi="Times New Roman" w:cs="Times New Roman"/>
          <w:szCs w:val="24"/>
        </w:rPr>
        <w:t xml:space="preserve">reform </w:t>
      </w:r>
      <w:r w:rsidR="00591A91" w:rsidRPr="00600AFD">
        <w:rPr>
          <w:rFonts w:ascii="Times New Roman" w:eastAsia="Calibri" w:hAnsi="Times New Roman" w:cs="Times New Roman"/>
          <w:szCs w:val="24"/>
        </w:rPr>
        <w:t xml:space="preserve">and development </w:t>
      </w:r>
      <w:r w:rsidRPr="00600AFD">
        <w:rPr>
          <w:rFonts w:ascii="Times New Roman" w:eastAsia="Calibri" w:hAnsi="Times New Roman" w:cs="Times New Roman"/>
          <w:szCs w:val="24"/>
        </w:rPr>
        <w:t xml:space="preserve">steps </w:t>
      </w:r>
      <w:r w:rsidR="00E25AF8" w:rsidRPr="00600AFD">
        <w:rPr>
          <w:rFonts w:ascii="Times New Roman" w:eastAsia="Calibri" w:hAnsi="Times New Roman" w:cs="Times New Roman"/>
          <w:szCs w:val="24"/>
        </w:rPr>
        <w:t xml:space="preserve">as part of </w:t>
      </w:r>
      <w:r w:rsidRPr="00600AFD">
        <w:rPr>
          <w:rFonts w:ascii="Times New Roman" w:eastAsia="Calibri" w:hAnsi="Times New Roman" w:cs="Times New Roman"/>
          <w:szCs w:val="24"/>
        </w:rPr>
        <w:t xml:space="preserve">the process of </w:t>
      </w:r>
      <w:r w:rsidR="0079475D" w:rsidRPr="00600AFD">
        <w:rPr>
          <w:rFonts w:ascii="Times New Roman" w:eastAsia="Calibri" w:hAnsi="Times New Roman" w:cs="Times New Roman"/>
          <w:szCs w:val="24"/>
        </w:rPr>
        <w:t xml:space="preserve">the Republic of Serbia’s </w:t>
      </w:r>
      <w:r w:rsidRPr="00600AFD">
        <w:rPr>
          <w:rFonts w:ascii="Times New Roman" w:eastAsia="Calibri" w:hAnsi="Times New Roman" w:cs="Times New Roman"/>
          <w:szCs w:val="24"/>
        </w:rPr>
        <w:t>accession</w:t>
      </w:r>
      <w:r w:rsidR="0079475D" w:rsidRPr="00600AFD">
        <w:rPr>
          <w:rFonts w:ascii="Times New Roman" w:eastAsia="Calibri" w:hAnsi="Times New Roman" w:cs="Times New Roman"/>
          <w:szCs w:val="24"/>
        </w:rPr>
        <w:t xml:space="preserve"> to the EU</w:t>
      </w:r>
      <w:r w:rsidRPr="00600AFD">
        <w:rPr>
          <w:rFonts w:ascii="Times New Roman" w:eastAsia="Calibri" w:hAnsi="Times New Roman" w:cs="Times New Roman"/>
          <w:szCs w:val="24"/>
        </w:rPr>
        <w:t xml:space="preserve">, it is necessary to further </w:t>
      </w:r>
      <w:r w:rsidR="00C14A41" w:rsidRPr="00600AFD">
        <w:rPr>
          <w:rFonts w:ascii="Times New Roman" w:eastAsia="Calibri" w:hAnsi="Times New Roman" w:cs="Times New Roman"/>
          <w:szCs w:val="24"/>
        </w:rPr>
        <w:t xml:space="preserve">advance </w:t>
      </w:r>
      <w:r w:rsidRPr="00600AFD">
        <w:rPr>
          <w:rFonts w:ascii="Times New Roman" w:eastAsia="Calibri" w:hAnsi="Times New Roman" w:cs="Times New Roman"/>
          <w:szCs w:val="24"/>
        </w:rPr>
        <w:t xml:space="preserve">the Judicial Academy’s training program by </w:t>
      </w:r>
      <w:r w:rsidR="00C14A41" w:rsidRPr="00600AFD">
        <w:rPr>
          <w:rFonts w:ascii="Times New Roman" w:eastAsia="Calibri" w:hAnsi="Times New Roman" w:cs="Times New Roman"/>
          <w:szCs w:val="24"/>
        </w:rPr>
        <w:t xml:space="preserve">way of </w:t>
      </w:r>
      <w:r w:rsidRPr="00600AFD">
        <w:rPr>
          <w:rFonts w:ascii="Times New Roman" w:eastAsia="Calibri" w:hAnsi="Times New Roman" w:cs="Times New Roman"/>
          <w:szCs w:val="24"/>
        </w:rPr>
        <w:t xml:space="preserve">including new thematic areas arising from these processes, particularly those related to the case law of the European Court of Human Rights and the European Court of Justice. Special emphasis should be placed on </w:t>
      </w:r>
      <w:r w:rsidR="00D055FE" w:rsidRPr="00600AFD">
        <w:rPr>
          <w:rFonts w:ascii="Times New Roman" w:eastAsia="Calibri" w:hAnsi="Times New Roman" w:cs="Times New Roman"/>
          <w:szCs w:val="24"/>
        </w:rPr>
        <w:t>fulfilling the requirements contained in</w:t>
      </w:r>
      <w:r w:rsidRPr="00600AFD">
        <w:rPr>
          <w:rFonts w:ascii="Times New Roman" w:eastAsia="Calibri" w:hAnsi="Times New Roman" w:cs="Times New Roman"/>
          <w:szCs w:val="24"/>
        </w:rPr>
        <w:t xml:space="preserve"> the interim benchmark </w:t>
      </w:r>
      <w:r w:rsidR="00D82920" w:rsidRPr="00600AFD">
        <w:rPr>
          <w:rFonts w:ascii="Times New Roman" w:eastAsia="Calibri" w:hAnsi="Times New Roman" w:cs="Times New Roman"/>
          <w:szCs w:val="24"/>
        </w:rPr>
        <w:t>to</w:t>
      </w:r>
      <w:r w:rsidRPr="00600AFD">
        <w:rPr>
          <w:rFonts w:ascii="Times New Roman" w:eastAsia="Calibri" w:hAnsi="Times New Roman" w:cs="Times New Roman"/>
          <w:szCs w:val="24"/>
        </w:rPr>
        <w:t xml:space="preserve"> ensure that training needs are viewed as part of the judges’ and prosecutors’ performance </w:t>
      </w:r>
      <w:r w:rsidR="00002BD4" w:rsidRPr="00600AFD">
        <w:rPr>
          <w:rFonts w:ascii="Times New Roman" w:eastAsia="Calibri" w:hAnsi="Times New Roman" w:cs="Times New Roman"/>
          <w:szCs w:val="24"/>
        </w:rPr>
        <w:t>appraisal</w:t>
      </w:r>
      <w:r w:rsidRPr="00600AFD">
        <w:rPr>
          <w:rFonts w:ascii="Times New Roman" w:eastAsia="Calibri" w:hAnsi="Times New Roman" w:cs="Times New Roman"/>
          <w:szCs w:val="24"/>
        </w:rPr>
        <w:t>. It is necessary that the improvement of the training program be accompanied by appropriate infrastructure, administrative capacity of the Judicial Academy, and mechanisms to control the quality of training.</w:t>
      </w:r>
    </w:p>
    <w:p w14:paraId="2326C81E" w14:textId="60C247F4" w:rsidR="00D82920" w:rsidRPr="00600AFD" w:rsidRDefault="00D82920" w:rsidP="0087783D">
      <w:pPr>
        <w:spacing w:line="276" w:lineRule="auto"/>
        <w:rPr>
          <w:rFonts w:ascii="Times New Roman" w:eastAsia="Calibri" w:hAnsi="Times New Roman" w:cs="Times New Roman"/>
          <w:szCs w:val="24"/>
          <w:highlight w:val="yellow"/>
        </w:rPr>
      </w:pPr>
      <w:r w:rsidRPr="00D82920">
        <w:rPr>
          <w:rFonts w:ascii="Times New Roman" w:eastAsia="Calibri" w:hAnsi="Times New Roman" w:cs="Times New Roman"/>
          <w:szCs w:val="24"/>
        </w:rPr>
        <w:t>Also, in cooperation with</w:t>
      </w:r>
      <w:r>
        <w:rPr>
          <w:rFonts w:ascii="Times New Roman" w:eastAsia="Calibri" w:hAnsi="Times New Roman" w:cs="Times New Roman"/>
          <w:szCs w:val="24"/>
        </w:rPr>
        <w:t xml:space="preserve"> the</w:t>
      </w:r>
      <w:r w:rsidRPr="00D82920">
        <w:rPr>
          <w:rFonts w:ascii="Times New Roman" w:eastAsia="Calibri" w:hAnsi="Times New Roman" w:cs="Times New Roman"/>
          <w:szCs w:val="24"/>
        </w:rPr>
        <w:t xml:space="preserve"> law faculties, it is necessary to constantly improve the system of education of lawyers and adjust the program for taking the bar exam to the priorities of this strategy and further development of the judiciary.</w:t>
      </w:r>
    </w:p>
    <w:p w14:paraId="165ABCA7" w14:textId="77777777" w:rsidR="0087783D" w:rsidRPr="00600AFD" w:rsidRDefault="0087783D" w:rsidP="0087783D">
      <w:pPr>
        <w:spacing w:after="240"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In order to </w:t>
      </w:r>
      <w:r w:rsidR="00F4102E" w:rsidRPr="00600AFD">
        <w:rPr>
          <w:rFonts w:ascii="Times New Roman" w:eastAsia="Calibri" w:hAnsi="Times New Roman" w:cs="Times New Roman"/>
          <w:szCs w:val="24"/>
        </w:rPr>
        <w:t>achieve</w:t>
      </w:r>
      <w:r w:rsidRPr="00600AFD">
        <w:rPr>
          <w:rFonts w:ascii="Times New Roman" w:eastAsia="Calibri" w:hAnsi="Times New Roman" w:cs="Times New Roman"/>
          <w:szCs w:val="24"/>
        </w:rPr>
        <w:t xml:space="preserve"> the </w:t>
      </w:r>
      <w:r w:rsidR="00DA4017" w:rsidRPr="00600AFD">
        <w:rPr>
          <w:rFonts w:ascii="Times New Roman" w:eastAsia="Calibri" w:hAnsi="Times New Roman" w:cs="Times New Roman"/>
          <w:szCs w:val="24"/>
        </w:rPr>
        <w:t xml:space="preserve">specific </w:t>
      </w:r>
      <w:r w:rsidR="00F4102E" w:rsidRPr="00600AFD">
        <w:rPr>
          <w:rFonts w:ascii="Times New Roman" w:eastAsia="Calibri" w:hAnsi="Times New Roman" w:cs="Times New Roman"/>
          <w:szCs w:val="24"/>
        </w:rPr>
        <w:t>objective</w:t>
      </w:r>
      <w:r w:rsidR="00DA4017" w:rsidRPr="00600AFD">
        <w:rPr>
          <w:rFonts w:ascii="Times New Roman" w:eastAsia="Calibri" w:hAnsi="Times New Roman" w:cs="Times New Roman"/>
          <w:szCs w:val="24"/>
        </w:rPr>
        <w:t xml:space="preserve"> 3</w:t>
      </w:r>
      <w:r w:rsidR="00F4102E"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 xml:space="preserve">reflected in the </w:t>
      </w:r>
      <w:r w:rsidRPr="00600AFD">
        <w:rPr>
          <w:rFonts w:ascii="Times New Roman" w:eastAsia="Calibri" w:hAnsi="Times New Roman" w:cs="Times New Roman"/>
          <w:i/>
          <w:szCs w:val="24"/>
        </w:rPr>
        <w:t xml:space="preserve">further development of the judicial system in which the professional development of </w:t>
      </w:r>
      <w:r w:rsidR="00734DD4" w:rsidRPr="00600AFD">
        <w:rPr>
          <w:rFonts w:ascii="Times New Roman" w:eastAsia="Calibri" w:hAnsi="Times New Roman" w:cs="Times New Roman"/>
          <w:i/>
          <w:szCs w:val="24"/>
        </w:rPr>
        <w:t>judicial office holders</w:t>
      </w:r>
      <w:r w:rsidRPr="00600AFD">
        <w:rPr>
          <w:rFonts w:ascii="Times New Roman" w:eastAsia="Calibri" w:hAnsi="Times New Roman" w:cs="Times New Roman"/>
          <w:szCs w:val="24"/>
        </w:rPr>
        <w:t xml:space="preserve"> </w:t>
      </w:r>
      <w:r w:rsidRPr="00600AFD">
        <w:rPr>
          <w:rFonts w:ascii="Times New Roman" w:eastAsia="Calibri" w:hAnsi="Times New Roman" w:cs="Times New Roman"/>
          <w:i/>
          <w:szCs w:val="24"/>
        </w:rPr>
        <w:t xml:space="preserve">and the training of judicial and prosecutorial assistants, trainees employed in the judiciary, and </w:t>
      </w:r>
      <w:r w:rsidR="00F4102E" w:rsidRPr="00600AFD">
        <w:rPr>
          <w:rFonts w:ascii="Times New Roman" w:eastAsia="Calibri" w:hAnsi="Times New Roman" w:cs="Times New Roman"/>
          <w:i/>
          <w:szCs w:val="24"/>
        </w:rPr>
        <w:t>individuals</w:t>
      </w:r>
      <w:r w:rsidRPr="00600AFD">
        <w:rPr>
          <w:rFonts w:ascii="Times New Roman" w:eastAsia="Calibri" w:hAnsi="Times New Roman" w:cs="Times New Roman"/>
          <w:i/>
          <w:szCs w:val="24"/>
        </w:rPr>
        <w:t xml:space="preserve"> from other judicial professions is carried out in a comprehensive and organized manner,</w:t>
      </w:r>
      <w:r w:rsidRPr="00600AFD">
        <w:rPr>
          <w:rFonts w:ascii="Times New Roman" w:eastAsia="Calibri" w:hAnsi="Times New Roman" w:cs="Times New Roman"/>
          <w:szCs w:val="24"/>
        </w:rPr>
        <w:t xml:space="preserve"> it is necessary to implement the following measures:</w:t>
      </w:r>
    </w:p>
    <w:tbl>
      <w:tblPr>
        <w:tblStyle w:val="TableGrid1"/>
        <w:tblW w:w="0" w:type="auto"/>
        <w:tblLook w:val="04A0" w:firstRow="1" w:lastRow="0" w:firstColumn="1" w:lastColumn="0" w:noHBand="0" w:noVBand="1"/>
      </w:tblPr>
      <w:tblGrid>
        <w:gridCol w:w="625"/>
        <w:gridCol w:w="8725"/>
      </w:tblGrid>
      <w:tr w:rsidR="0087783D" w:rsidRPr="00600AFD" w14:paraId="79137ECB" w14:textId="77777777" w:rsidTr="00C55662">
        <w:tc>
          <w:tcPr>
            <w:tcW w:w="625" w:type="dxa"/>
            <w:shd w:val="clear" w:color="auto" w:fill="D9E2F3"/>
          </w:tcPr>
          <w:p w14:paraId="320421A5" w14:textId="77777777" w:rsidR="0087783D" w:rsidRPr="00600AFD" w:rsidRDefault="0087783D"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1</w:t>
            </w:r>
          </w:p>
        </w:tc>
        <w:tc>
          <w:tcPr>
            <w:tcW w:w="8725" w:type="dxa"/>
          </w:tcPr>
          <w:p w14:paraId="638B7BA6" w14:textId="77777777" w:rsidR="0087783D" w:rsidRPr="00600AFD" w:rsidRDefault="0087783D" w:rsidP="00D055FE">
            <w:pPr>
              <w:spacing w:after="120" w:line="276" w:lineRule="auto"/>
              <w:rPr>
                <w:rFonts w:ascii="Times New Roman" w:eastAsia="Calibri" w:hAnsi="Times New Roman" w:cs="Times New Roman"/>
                <w:szCs w:val="24"/>
                <w:highlight w:val="yellow"/>
              </w:rPr>
            </w:pPr>
            <w:r w:rsidRPr="00600AFD">
              <w:rPr>
                <w:rFonts w:ascii="Times New Roman" w:eastAsia="Calibri" w:hAnsi="Times New Roman" w:cs="Times New Roman"/>
                <w:bCs/>
                <w:szCs w:val="24"/>
              </w:rPr>
              <w:t>Continu</w:t>
            </w:r>
            <w:r w:rsidR="009E100B" w:rsidRPr="00600AFD">
              <w:rPr>
                <w:rFonts w:ascii="Times New Roman" w:eastAsia="Calibri" w:hAnsi="Times New Roman" w:cs="Times New Roman"/>
                <w:bCs/>
                <w:szCs w:val="24"/>
              </w:rPr>
              <w:t xml:space="preserve">ous advancement of </w:t>
            </w:r>
            <w:r w:rsidRPr="00600AFD">
              <w:rPr>
                <w:rFonts w:ascii="Times New Roman" w:eastAsia="Calibri" w:hAnsi="Times New Roman" w:cs="Times New Roman"/>
                <w:bCs/>
                <w:szCs w:val="24"/>
              </w:rPr>
              <w:t>all Judicial Academy</w:t>
            </w:r>
            <w:r w:rsidR="009E100B" w:rsidRPr="00600AFD">
              <w:rPr>
                <w:rFonts w:ascii="Times New Roman" w:eastAsia="Calibri" w:hAnsi="Times New Roman" w:cs="Times New Roman"/>
                <w:bCs/>
                <w:szCs w:val="24"/>
              </w:rPr>
              <w:t>’s</w:t>
            </w:r>
            <w:r w:rsidRPr="00600AFD">
              <w:rPr>
                <w:rFonts w:ascii="Times New Roman" w:eastAsia="Calibri" w:hAnsi="Times New Roman" w:cs="Times New Roman"/>
                <w:bCs/>
                <w:szCs w:val="24"/>
              </w:rPr>
              <w:t xml:space="preserve"> training programs in accordance with the new constitutional and </w:t>
            </w:r>
            <w:r w:rsidR="00D055FE" w:rsidRPr="00600AFD">
              <w:rPr>
                <w:rFonts w:ascii="Times New Roman" w:eastAsia="Calibri" w:hAnsi="Times New Roman" w:cs="Times New Roman"/>
                <w:bCs/>
                <w:szCs w:val="24"/>
              </w:rPr>
              <w:t>legislative</w:t>
            </w:r>
            <w:r w:rsidRPr="00600AFD">
              <w:rPr>
                <w:rFonts w:ascii="Times New Roman" w:eastAsia="Calibri" w:hAnsi="Times New Roman" w:cs="Times New Roman"/>
                <w:bCs/>
                <w:szCs w:val="24"/>
              </w:rPr>
              <w:t xml:space="preserve"> solutions</w:t>
            </w:r>
            <w:r w:rsidR="00412D89" w:rsidRPr="00600AFD">
              <w:rPr>
                <w:rFonts w:ascii="Times New Roman" w:eastAsia="Calibri" w:hAnsi="Times New Roman" w:cs="Times New Roman"/>
                <w:bCs/>
                <w:szCs w:val="24"/>
              </w:rPr>
              <w:t xml:space="preserve"> with a </w:t>
            </w:r>
            <w:proofErr w:type="gramStart"/>
            <w:r w:rsidR="00412D89" w:rsidRPr="00600AFD">
              <w:rPr>
                <w:rFonts w:ascii="Times New Roman" w:eastAsia="Calibri" w:hAnsi="Times New Roman" w:cs="Times New Roman"/>
                <w:bCs/>
                <w:szCs w:val="24"/>
              </w:rPr>
              <w:t>particular emphasis</w:t>
            </w:r>
            <w:proofErr w:type="gramEnd"/>
            <w:r w:rsidR="00412D89" w:rsidRPr="00600AFD">
              <w:rPr>
                <w:rFonts w:ascii="Times New Roman" w:eastAsia="Calibri" w:hAnsi="Times New Roman" w:cs="Times New Roman"/>
                <w:bCs/>
                <w:szCs w:val="24"/>
              </w:rPr>
              <w:t xml:space="preserve"> on advancement of the training program for specialization of judges, public prosecutors</w:t>
            </w:r>
            <w:r w:rsidR="00290021" w:rsidRPr="00600AFD">
              <w:rPr>
                <w:rFonts w:ascii="Times New Roman" w:eastAsia="Calibri" w:hAnsi="Times New Roman" w:cs="Times New Roman"/>
                <w:bCs/>
                <w:szCs w:val="24"/>
              </w:rPr>
              <w:t xml:space="preserve"> and deputy public prosecutors in particular fields</w:t>
            </w:r>
            <w:r w:rsidRPr="00600AFD">
              <w:rPr>
                <w:rFonts w:ascii="Times New Roman" w:eastAsia="Calibri" w:hAnsi="Times New Roman" w:cs="Times New Roman"/>
                <w:bCs/>
                <w:szCs w:val="24"/>
              </w:rPr>
              <w:t>;</w:t>
            </w:r>
          </w:p>
        </w:tc>
      </w:tr>
      <w:tr w:rsidR="0087783D" w:rsidRPr="00600AFD" w14:paraId="7C5B9BDD" w14:textId="77777777" w:rsidTr="00C55662">
        <w:tc>
          <w:tcPr>
            <w:tcW w:w="625" w:type="dxa"/>
            <w:shd w:val="clear" w:color="auto" w:fill="D9E2F3"/>
          </w:tcPr>
          <w:p w14:paraId="7BF43CBC" w14:textId="77777777" w:rsidR="0087783D" w:rsidRPr="00600AFD" w:rsidRDefault="0087783D"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2</w:t>
            </w:r>
          </w:p>
        </w:tc>
        <w:tc>
          <w:tcPr>
            <w:tcW w:w="8725" w:type="dxa"/>
          </w:tcPr>
          <w:p w14:paraId="63CAF666" w14:textId="78FC28D4" w:rsidR="0087783D" w:rsidRPr="00600AFD" w:rsidRDefault="0087783D" w:rsidP="00D055FE">
            <w:pPr>
              <w:spacing w:after="120" w:line="276" w:lineRule="auto"/>
              <w:rPr>
                <w:rFonts w:ascii="Times New Roman" w:eastAsia="Calibri" w:hAnsi="Times New Roman" w:cs="Times New Roman"/>
                <w:szCs w:val="24"/>
                <w:highlight w:val="yellow"/>
              </w:rPr>
            </w:pPr>
            <w:r w:rsidRPr="00600AFD">
              <w:rPr>
                <w:rFonts w:ascii="Times New Roman" w:eastAsia="Calibri" w:hAnsi="Times New Roman" w:cs="Times New Roman"/>
                <w:bCs/>
                <w:szCs w:val="24"/>
              </w:rPr>
              <w:t>Strengthen</w:t>
            </w:r>
            <w:r w:rsidR="00290021" w:rsidRPr="00600AFD">
              <w:rPr>
                <w:rFonts w:ascii="Times New Roman" w:eastAsia="Calibri" w:hAnsi="Times New Roman" w:cs="Times New Roman"/>
                <w:bCs/>
                <w:szCs w:val="24"/>
              </w:rPr>
              <w:t>ing of</w:t>
            </w:r>
            <w:r w:rsidRPr="00600AFD">
              <w:rPr>
                <w:rFonts w:ascii="Times New Roman" w:eastAsia="Calibri" w:hAnsi="Times New Roman" w:cs="Times New Roman"/>
                <w:bCs/>
                <w:szCs w:val="24"/>
              </w:rPr>
              <w:t xml:space="preserve"> the Judicial Academy</w:t>
            </w:r>
            <w:r w:rsidR="00290021" w:rsidRPr="00600AFD">
              <w:rPr>
                <w:rFonts w:ascii="Times New Roman" w:eastAsia="Calibri" w:hAnsi="Times New Roman" w:cs="Times New Roman"/>
                <w:bCs/>
                <w:szCs w:val="24"/>
              </w:rPr>
              <w:t>’s capacity</w:t>
            </w:r>
            <w:r w:rsidRPr="00600AFD">
              <w:rPr>
                <w:rFonts w:ascii="Times New Roman" w:eastAsia="Calibri" w:hAnsi="Times New Roman" w:cs="Times New Roman"/>
                <w:bCs/>
                <w:szCs w:val="24"/>
              </w:rPr>
              <w:t xml:space="preserve"> </w:t>
            </w:r>
            <w:r w:rsidR="00B919C4" w:rsidRPr="00600AFD">
              <w:rPr>
                <w:rFonts w:ascii="Times New Roman" w:eastAsia="Calibri" w:hAnsi="Times New Roman" w:cs="Times New Roman"/>
                <w:bCs/>
                <w:szCs w:val="24"/>
              </w:rPr>
              <w:t xml:space="preserve">in order to </w:t>
            </w:r>
            <w:r w:rsidRPr="00600AFD">
              <w:rPr>
                <w:rFonts w:ascii="Times New Roman" w:eastAsia="Calibri" w:hAnsi="Times New Roman" w:cs="Times New Roman"/>
                <w:bCs/>
                <w:szCs w:val="24"/>
              </w:rPr>
              <w:t xml:space="preserve">successfully overcome new challenges and </w:t>
            </w:r>
            <w:r w:rsidR="000F1058" w:rsidRPr="00600AFD">
              <w:rPr>
                <w:rFonts w:ascii="Times New Roman" w:eastAsia="Calibri" w:hAnsi="Times New Roman" w:cs="Times New Roman"/>
                <w:bCs/>
                <w:szCs w:val="24"/>
              </w:rPr>
              <w:t xml:space="preserve">the </w:t>
            </w:r>
            <w:r w:rsidRPr="00600AFD">
              <w:rPr>
                <w:rFonts w:ascii="Times New Roman" w:eastAsia="Calibri" w:hAnsi="Times New Roman" w:cs="Times New Roman"/>
                <w:bCs/>
                <w:szCs w:val="24"/>
              </w:rPr>
              <w:t xml:space="preserve">role in </w:t>
            </w:r>
            <w:r w:rsidR="00C1698A" w:rsidRPr="00600AFD">
              <w:rPr>
                <w:rFonts w:ascii="Times New Roman" w:eastAsia="Calibri" w:hAnsi="Times New Roman" w:cs="Times New Roman"/>
                <w:bCs/>
                <w:szCs w:val="24"/>
              </w:rPr>
              <w:t xml:space="preserve">accordance with </w:t>
            </w:r>
            <w:r w:rsidRPr="00600AFD">
              <w:rPr>
                <w:rFonts w:ascii="Times New Roman" w:eastAsia="Calibri" w:hAnsi="Times New Roman" w:cs="Times New Roman"/>
                <w:bCs/>
                <w:szCs w:val="24"/>
              </w:rPr>
              <w:t xml:space="preserve">new constitutional and </w:t>
            </w:r>
            <w:r w:rsidR="00D055FE" w:rsidRPr="00600AFD">
              <w:rPr>
                <w:rFonts w:ascii="Times New Roman" w:eastAsia="Calibri" w:hAnsi="Times New Roman" w:cs="Times New Roman"/>
                <w:bCs/>
                <w:szCs w:val="24"/>
              </w:rPr>
              <w:t>legislative</w:t>
            </w:r>
            <w:r w:rsidRPr="00600AFD">
              <w:rPr>
                <w:rFonts w:ascii="Times New Roman" w:eastAsia="Calibri" w:hAnsi="Times New Roman" w:cs="Times New Roman"/>
                <w:bCs/>
                <w:szCs w:val="24"/>
              </w:rPr>
              <w:t xml:space="preserve"> solutions;</w:t>
            </w:r>
          </w:p>
        </w:tc>
      </w:tr>
      <w:tr w:rsidR="0087783D" w:rsidRPr="00600AFD" w14:paraId="5CBF30CF" w14:textId="77777777" w:rsidTr="00C55662">
        <w:tc>
          <w:tcPr>
            <w:tcW w:w="625" w:type="dxa"/>
            <w:shd w:val="clear" w:color="auto" w:fill="D9E2F3"/>
          </w:tcPr>
          <w:p w14:paraId="6177744E" w14:textId="77777777" w:rsidR="0087783D" w:rsidRPr="00600AFD" w:rsidRDefault="0087783D"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3</w:t>
            </w:r>
          </w:p>
        </w:tc>
        <w:tc>
          <w:tcPr>
            <w:tcW w:w="8725" w:type="dxa"/>
          </w:tcPr>
          <w:p w14:paraId="3EB5BA77" w14:textId="77777777" w:rsidR="0087783D" w:rsidRPr="00600AFD" w:rsidRDefault="0087783D" w:rsidP="0087783D">
            <w:pPr>
              <w:spacing w:after="120" w:line="276" w:lineRule="auto"/>
              <w:rPr>
                <w:rFonts w:ascii="Times New Roman" w:eastAsia="Calibri" w:hAnsi="Times New Roman" w:cs="Times New Roman"/>
                <w:szCs w:val="24"/>
                <w:highlight w:val="yellow"/>
              </w:rPr>
            </w:pPr>
            <w:r w:rsidRPr="00600AFD">
              <w:rPr>
                <w:rFonts w:ascii="Times New Roman" w:eastAsia="Calibri" w:hAnsi="Times New Roman" w:cs="Times New Roman"/>
                <w:bCs/>
                <w:szCs w:val="24"/>
              </w:rPr>
              <w:t>Establish</w:t>
            </w:r>
            <w:r w:rsidR="006A318D" w:rsidRPr="00600AFD">
              <w:rPr>
                <w:rFonts w:ascii="Times New Roman" w:eastAsia="Calibri" w:hAnsi="Times New Roman" w:cs="Times New Roman"/>
                <w:bCs/>
                <w:szCs w:val="24"/>
              </w:rPr>
              <w:t xml:space="preserve">ment of a mechanism for </w:t>
            </w:r>
            <w:r w:rsidRPr="00600AFD">
              <w:rPr>
                <w:rFonts w:ascii="Times New Roman" w:eastAsia="Calibri" w:hAnsi="Times New Roman" w:cs="Times New Roman"/>
                <w:bCs/>
                <w:szCs w:val="24"/>
              </w:rPr>
              <w:t>quality control of the training at the Judicial Academy;</w:t>
            </w:r>
          </w:p>
        </w:tc>
      </w:tr>
      <w:tr w:rsidR="008A7516" w:rsidRPr="00600AFD" w14:paraId="3EE594F4" w14:textId="77777777" w:rsidTr="00C55662">
        <w:tc>
          <w:tcPr>
            <w:tcW w:w="625" w:type="dxa"/>
            <w:shd w:val="clear" w:color="auto" w:fill="D9E2F3"/>
          </w:tcPr>
          <w:p w14:paraId="2DC05D47" w14:textId="77777777" w:rsidR="008A7516" w:rsidRPr="00600AFD" w:rsidRDefault="008A7516"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4</w:t>
            </w:r>
          </w:p>
        </w:tc>
        <w:tc>
          <w:tcPr>
            <w:tcW w:w="8725" w:type="dxa"/>
          </w:tcPr>
          <w:p w14:paraId="47C72BBC" w14:textId="77777777" w:rsidR="008A7516" w:rsidRPr="00600AFD" w:rsidRDefault="008A7516" w:rsidP="0087783D">
            <w:pPr>
              <w:spacing w:after="120" w:line="276" w:lineRule="auto"/>
              <w:rPr>
                <w:rFonts w:ascii="Times New Roman" w:eastAsia="Calibri" w:hAnsi="Times New Roman" w:cs="Times New Roman"/>
                <w:bCs/>
                <w:szCs w:val="24"/>
              </w:rPr>
            </w:pPr>
            <w:r w:rsidRPr="00600AFD">
              <w:rPr>
                <w:rFonts w:ascii="Times New Roman" w:hAnsi="Times New Roman" w:cs="Times New Roman"/>
                <w:szCs w:val="24"/>
              </w:rPr>
              <w:t>Assessment of needs for additional training based on performance evaluation</w:t>
            </w:r>
            <w:r w:rsidR="006546AA" w:rsidRPr="00600AFD">
              <w:rPr>
                <w:rFonts w:ascii="Times New Roman" w:hAnsi="Times New Roman" w:cs="Times New Roman"/>
                <w:szCs w:val="24"/>
              </w:rPr>
              <w:t>s</w:t>
            </w:r>
            <w:r w:rsidRPr="00600AFD">
              <w:rPr>
                <w:rFonts w:ascii="Times New Roman" w:hAnsi="Times New Roman" w:cs="Times New Roman"/>
                <w:szCs w:val="24"/>
              </w:rPr>
              <w:t xml:space="preserve"> of judicial office holders</w:t>
            </w:r>
            <w:r w:rsidR="00C76E54" w:rsidRPr="00600AFD">
              <w:rPr>
                <w:rFonts w:ascii="Times New Roman" w:hAnsi="Times New Roman" w:cs="Times New Roman"/>
                <w:szCs w:val="24"/>
              </w:rPr>
              <w:t>;</w:t>
            </w:r>
          </w:p>
        </w:tc>
      </w:tr>
      <w:tr w:rsidR="0087783D" w:rsidRPr="00600AFD" w14:paraId="7122217C" w14:textId="77777777" w:rsidTr="00C55662">
        <w:tc>
          <w:tcPr>
            <w:tcW w:w="625" w:type="dxa"/>
            <w:shd w:val="clear" w:color="auto" w:fill="D9E2F3"/>
          </w:tcPr>
          <w:p w14:paraId="08901D53" w14:textId="77777777" w:rsidR="0087783D" w:rsidRPr="00600AFD" w:rsidRDefault="002404D3" w:rsidP="00DD7397">
            <w:pPr>
              <w:spacing w:after="120" w:line="276" w:lineRule="auto"/>
              <w:rPr>
                <w:rFonts w:ascii="Times New Roman" w:eastAsia="Calibri" w:hAnsi="Times New Roman" w:cs="Times New Roman"/>
                <w:bCs/>
                <w:szCs w:val="24"/>
              </w:rPr>
            </w:pPr>
            <w:r w:rsidRPr="00600AFD">
              <w:rPr>
                <w:rFonts w:ascii="Times New Roman" w:eastAsia="Calibri" w:hAnsi="Times New Roman" w:cs="Times New Roman"/>
                <w:bCs/>
                <w:szCs w:val="24"/>
              </w:rPr>
              <w:t>5</w:t>
            </w:r>
          </w:p>
        </w:tc>
        <w:tc>
          <w:tcPr>
            <w:tcW w:w="8725" w:type="dxa"/>
          </w:tcPr>
          <w:p w14:paraId="1BC1B3F9" w14:textId="1E76568A" w:rsidR="0087783D" w:rsidRPr="00600AFD" w:rsidRDefault="00DD7397" w:rsidP="00DD7397">
            <w:pPr>
              <w:spacing w:after="120" w:line="276" w:lineRule="auto"/>
              <w:rPr>
                <w:rFonts w:ascii="Times New Roman" w:eastAsia="Calibri" w:hAnsi="Times New Roman" w:cs="Times New Roman"/>
                <w:bCs/>
                <w:szCs w:val="24"/>
              </w:rPr>
            </w:pPr>
            <w:r w:rsidRPr="00600AFD">
              <w:rPr>
                <w:rFonts w:ascii="Times New Roman" w:hAnsi="Times New Roman" w:cs="Times New Roman"/>
                <w:szCs w:val="24"/>
              </w:rPr>
              <w:t>Evaluati</w:t>
            </w:r>
            <w:r w:rsidR="00CA62FC" w:rsidRPr="00600AFD">
              <w:rPr>
                <w:rFonts w:ascii="Times New Roman" w:hAnsi="Times New Roman" w:cs="Times New Roman"/>
                <w:szCs w:val="24"/>
              </w:rPr>
              <w:t>on</w:t>
            </w:r>
            <w:r w:rsidRPr="00600AFD">
              <w:rPr>
                <w:rFonts w:ascii="Times New Roman" w:hAnsi="Times New Roman" w:cs="Times New Roman"/>
                <w:szCs w:val="24"/>
              </w:rPr>
              <w:t xml:space="preserve"> </w:t>
            </w:r>
            <w:r w:rsidR="006546AA" w:rsidRPr="00600AFD">
              <w:rPr>
                <w:rFonts w:ascii="Times New Roman" w:hAnsi="Times New Roman" w:cs="Times New Roman"/>
                <w:szCs w:val="24"/>
              </w:rPr>
              <w:t xml:space="preserve">of </w:t>
            </w:r>
            <w:r w:rsidRPr="00600AFD">
              <w:rPr>
                <w:rFonts w:ascii="Times New Roman" w:hAnsi="Times New Roman" w:cs="Times New Roman"/>
                <w:szCs w:val="24"/>
              </w:rPr>
              <w:t xml:space="preserve">the impact of training on judges’ and prosecutors’ </w:t>
            </w:r>
            <w:r w:rsidR="005957B0" w:rsidRPr="00600AFD">
              <w:rPr>
                <w:rFonts w:ascii="Times New Roman" w:hAnsi="Times New Roman" w:cs="Times New Roman"/>
                <w:szCs w:val="24"/>
              </w:rPr>
              <w:t xml:space="preserve">qualifications </w:t>
            </w:r>
            <w:r w:rsidR="00C76E54" w:rsidRPr="00600AFD">
              <w:rPr>
                <w:rFonts w:ascii="Times New Roman" w:hAnsi="Times New Roman" w:cs="Times New Roman"/>
                <w:szCs w:val="24"/>
              </w:rPr>
              <w:t xml:space="preserve">and </w:t>
            </w:r>
            <w:r w:rsidRPr="00600AFD">
              <w:rPr>
                <w:rFonts w:ascii="Times New Roman" w:hAnsi="Times New Roman" w:cs="Times New Roman"/>
                <w:szCs w:val="24"/>
              </w:rPr>
              <w:t>competence</w:t>
            </w:r>
            <w:r w:rsidR="006546AA" w:rsidRPr="00600AFD">
              <w:rPr>
                <w:rFonts w:ascii="Times New Roman" w:hAnsi="Times New Roman" w:cs="Times New Roman"/>
                <w:szCs w:val="24"/>
              </w:rPr>
              <w:t>s</w:t>
            </w:r>
            <w:r w:rsidRPr="00600AFD">
              <w:rPr>
                <w:rFonts w:ascii="Times New Roman" w:hAnsi="Times New Roman" w:cs="Times New Roman"/>
                <w:szCs w:val="24"/>
              </w:rPr>
              <w:t xml:space="preserve"> as part of the performance </w:t>
            </w:r>
            <w:r w:rsidR="002404D3" w:rsidRPr="00600AFD">
              <w:rPr>
                <w:rFonts w:ascii="Times New Roman" w:hAnsi="Times New Roman" w:cs="Times New Roman"/>
                <w:szCs w:val="24"/>
              </w:rPr>
              <w:t xml:space="preserve">evaluation </w:t>
            </w:r>
            <w:r w:rsidRPr="00600AFD">
              <w:rPr>
                <w:rFonts w:ascii="Times New Roman" w:hAnsi="Times New Roman" w:cs="Times New Roman"/>
                <w:szCs w:val="24"/>
              </w:rPr>
              <w:t xml:space="preserve">of </w:t>
            </w:r>
            <w:r w:rsidR="002404D3" w:rsidRPr="00600AFD">
              <w:rPr>
                <w:rFonts w:ascii="Times New Roman" w:hAnsi="Times New Roman" w:cs="Times New Roman"/>
                <w:szCs w:val="24"/>
              </w:rPr>
              <w:t>judicial office holders</w:t>
            </w:r>
            <w:r w:rsidR="0087783D" w:rsidRPr="00600AFD">
              <w:rPr>
                <w:rFonts w:ascii="Times New Roman" w:eastAsia="Calibri" w:hAnsi="Times New Roman" w:cs="Times New Roman"/>
                <w:bCs/>
                <w:szCs w:val="24"/>
              </w:rPr>
              <w:t>;</w:t>
            </w:r>
          </w:p>
        </w:tc>
      </w:tr>
      <w:tr w:rsidR="0087783D" w:rsidRPr="00600AFD" w14:paraId="3C1C572C" w14:textId="77777777" w:rsidTr="00C55662">
        <w:tc>
          <w:tcPr>
            <w:tcW w:w="625" w:type="dxa"/>
            <w:shd w:val="clear" w:color="auto" w:fill="D9E2F3"/>
          </w:tcPr>
          <w:p w14:paraId="456B7D92" w14:textId="77777777" w:rsidR="0087783D" w:rsidRPr="00600AFD" w:rsidRDefault="002404D3" w:rsidP="00DD7397">
            <w:pPr>
              <w:spacing w:after="120" w:line="276" w:lineRule="auto"/>
              <w:rPr>
                <w:rFonts w:ascii="Times New Roman" w:eastAsia="Calibri" w:hAnsi="Times New Roman" w:cs="Times New Roman"/>
                <w:bCs/>
                <w:szCs w:val="24"/>
              </w:rPr>
            </w:pPr>
            <w:r w:rsidRPr="00600AFD">
              <w:rPr>
                <w:rFonts w:ascii="Times New Roman" w:eastAsia="Calibri" w:hAnsi="Times New Roman" w:cs="Times New Roman"/>
                <w:bCs/>
                <w:szCs w:val="24"/>
              </w:rPr>
              <w:t>6</w:t>
            </w:r>
          </w:p>
        </w:tc>
        <w:tc>
          <w:tcPr>
            <w:tcW w:w="8725" w:type="dxa"/>
          </w:tcPr>
          <w:p w14:paraId="47BD16B1" w14:textId="77777777" w:rsidR="0087783D" w:rsidRPr="00600AFD" w:rsidRDefault="0087783D" w:rsidP="00DD7397">
            <w:pPr>
              <w:spacing w:after="120" w:line="276" w:lineRule="auto"/>
              <w:rPr>
                <w:rFonts w:ascii="Times New Roman" w:eastAsia="Calibri" w:hAnsi="Times New Roman" w:cs="Times New Roman"/>
                <w:bCs/>
                <w:szCs w:val="24"/>
              </w:rPr>
            </w:pPr>
            <w:r w:rsidRPr="00600AFD">
              <w:rPr>
                <w:rFonts w:ascii="Times New Roman" w:eastAsia="Calibri" w:hAnsi="Times New Roman" w:cs="Times New Roman"/>
                <w:bCs/>
                <w:szCs w:val="24"/>
              </w:rPr>
              <w:t>Develop</w:t>
            </w:r>
            <w:r w:rsidR="00CA62FC" w:rsidRPr="00600AFD">
              <w:rPr>
                <w:rFonts w:ascii="Times New Roman" w:eastAsia="Calibri" w:hAnsi="Times New Roman" w:cs="Times New Roman"/>
                <w:bCs/>
                <w:szCs w:val="24"/>
              </w:rPr>
              <w:t>ment of</w:t>
            </w:r>
            <w:r w:rsidRPr="00600AFD">
              <w:rPr>
                <w:rFonts w:ascii="Times New Roman" w:eastAsia="Calibri" w:hAnsi="Times New Roman" w:cs="Times New Roman"/>
                <w:bCs/>
                <w:szCs w:val="24"/>
              </w:rPr>
              <w:t xml:space="preserve"> special training programs for judicial/prosecutorial assistants in accordance with the new constitutional solutions and with the aim of enabling career advancement.</w:t>
            </w:r>
          </w:p>
        </w:tc>
      </w:tr>
    </w:tbl>
    <w:p w14:paraId="430D926C" w14:textId="77777777" w:rsidR="00D82920" w:rsidRDefault="00D82920" w:rsidP="00D82920">
      <w:pPr>
        <w:pStyle w:val="Heading1"/>
        <w:ind w:left="1440"/>
        <w:rPr>
          <w:rFonts w:ascii="Times New Roman" w:hAnsi="Times New Roman"/>
          <w:b/>
          <w:sz w:val="24"/>
        </w:rPr>
      </w:pPr>
      <w:bookmarkStart w:id="10" w:name="_Toc39707752"/>
    </w:p>
    <w:p w14:paraId="264908C7" w14:textId="2FA40982" w:rsidR="0087783D" w:rsidRPr="00D82920" w:rsidRDefault="005957B0" w:rsidP="00D82920">
      <w:pPr>
        <w:pStyle w:val="Heading1"/>
        <w:numPr>
          <w:ilvl w:val="1"/>
          <w:numId w:val="5"/>
        </w:numPr>
        <w:rPr>
          <w:rFonts w:ascii="Times New Roman" w:hAnsi="Times New Roman"/>
          <w:b/>
          <w:sz w:val="24"/>
        </w:rPr>
      </w:pPr>
      <w:r w:rsidRPr="00D82920">
        <w:rPr>
          <w:rFonts w:ascii="Times New Roman" w:hAnsi="Times New Roman"/>
          <w:b/>
          <w:sz w:val="24"/>
        </w:rPr>
        <w:t>Efficiency of judiciary</w:t>
      </w:r>
      <w:bookmarkEnd w:id="10"/>
    </w:p>
    <w:p w14:paraId="5AE2934E" w14:textId="71BD498B" w:rsidR="0087783D" w:rsidRPr="00600AFD" w:rsidRDefault="0087783D" w:rsidP="001E522A">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Guided by the principle that justice delayed is justice denied, the European Court of Human Rights has dealt extensively with the establishment of efficient judiciary, </w:t>
      </w:r>
      <w:r w:rsidR="00DD7397" w:rsidRPr="00600AFD">
        <w:rPr>
          <w:rFonts w:ascii="Times New Roman" w:eastAsia="Calibri" w:hAnsi="Times New Roman" w:cs="Times New Roman"/>
          <w:szCs w:val="24"/>
        </w:rPr>
        <w:t>stating</w:t>
      </w:r>
      <w:r w:rsidRPr="00600AFD">
        <w:rPr>
          <w:rFonts w:ascii="Times New Roman" w:eastAsia="Calibri" w:hAnsi="Times New Roman" w:cs="Times New Roman"/>
          <w:szCs w:val="24"/>
        </w:rPr>
        <w:t xml:space="preserve"> that the establishment </w:t>
      </w:r>
      <w:r w:rsidRPr="00600AFD">
        <w:rPr>
          <w:rFonts w:ascii="Times New Roman" w:eastAsia="Calibri" w:hAnsi="Times New Roman" w:cs="Times New Roman"/>
          <w:szCs w:val="24"/>
        </w:rPr>
        <w:lastRenderedPageBreak/>
        <w:t xml:space="preserve">and functioning of an efficient judiciary is simultaneously a prerequisite for </w:t>
      </w:r>
      <w:r w:rsidR="00DD7397" w:rsidRPr="00600AFD">
        <w:rPr>
          <w:rFonts w:ascii="Times New Roman" w:eastAsia="Calibri" w:hAnsi="Times New Roman" w:cs="Times New Roman"/>
          <w:szCs w:val="24"/>
        </w:rPr>
        <w:t xml:space="preserve">enabling all citizens to </w:t>
      </w:r>
      <w:r w:rsidR="00AE75E4" w:rsidRPr="00600AFD">
        <w:rPr>
          <w:rFonts w:ascii="Times New Roman" w:eastAsia="Calibri" w:hAnsi="Times New Roman" w:cs="Times New Roman"/>
          <w:szCs w:val="24"/>
        </w:rPr>
        <w:t>exercis</w:t>
      </w:r>
      <w:r w:rsidR="00DD7397" w:rsidRPr="00600AFD">
        <w:rPr>
          <w:rFonts w:ascii="Times New Roman" w:eastAsia="Calibri" w:hAnsi="Times New Roman" w:cs="Times New Roman"/>
          <w:szCs w:val="24"/>
        </w:rPr>
        <w:t>e</w:t>
      </w:r>
      <w:r w:rsidR="00AE75E4"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 xml:space="preserve">the right to access to justice, as well as the obligation of the State to create conditions needed for its realization. The ECHR adopted this view in the case of </w:t>
      </w:r>
      <w:proofErr w:type="spellStart"/>
      <w:r w:rsidRPr="00600AFD">
        <w:rPr>
          <w:rFonts w:ascii="Times New Roman" w:eastAsia="Calibri" w:hAnsi="Times New Roman" w:cs="Times New Roman"/>
          <w:i/>
          <w:szCs w:val="24"/>
        </w:rPr>
        <w:t>Tsilira</w:t>
      </w:r>
      <w:proofErr w:type="spellEnd"/>
      <w:r w:rsidRPr="00600AFD">
        <w:rPr>
          <w:rFonts w:ascii="Times New Roman" w:eastAsia="Calibri" w:hAnsi="Times New Roman" w:cs="Times New Roman"/>
          <w:i/>
          <w:szCs w:val="24"/>
        </w:rPr>
        <w:t xml:space="preserve"> v. Greece</w:t>
      </w:r>
      <w:r w:rsidRPr="00600AFD">
        <w:rPr>
          <w:rFonts w:ascii="Times New Roman" w:eastAsia="Calibri" w:hAnsi="Times New Roman" w:cs="Times New Roman"/>
          <w:i/>
          <w:szCs w:val="24"/>
          <w:vertAlign w:val="superscript"/>
        </w:rPr>
        <w:footnoteReference w:id="26"/>
      </w:r>
      <w:r w:rsidRPr="00600AFD">
        <w:rPr>
          <w:rFonts w:ascii="Times New Roman" w:eastAsia="Calibri" w:hAnsi="Times New Roman" w:cs="Times New Roman"/>
          <w:szCs w:val="24"/>
        </w:rPr>
        <w:t xml:space="preserve">, when it found that the contracting State is obliged to organize its legal system in a manner that ensures everyone the right to a final court decision. Also, in the case of </w:t>
      </w:r>
      <w:r w:rsidRPr="00600AFD">
        <w:rPr>
          <w:rFonts w:ascii="Times New Roman" w:eastAsia="Calibri" w:hAnsi="Times New Roman" w:cs="Times New Roman"/>
          <w:i/>
          <w:szCs w:val="24"/>
        </w:rPr>
        <w:t xml:space="preserve">Union </w:t>
      </w:r>
      <w:proofErr w:type="spellStart"/>
      <w:r w:rsidRPr="00600AFD">
        <w:rPr>
          <w:rFonts w:ascii="Times New Roman" w:eastAsia="Calibri" w:hAnsi="Times New Roman" w:cs="Times New Roman"/>
          <w:i/>
          <w:szCs w:val="24"/>
        </w:rPr>
        <w:t>Alimenaria</w:t>
      </w:r>
      <w:proofErr w:type="spellEnd"/>
      <w:r w:rsidRPr="00600AFD">
        <w:rPr>
          <w:rFonts w:ascii="Times New Roman" w:eastAsia="Calibri" w:hAnsi="Times New Roman" w:cs="Times New Roman"/>
          <w:i/>
          <w:szCs w:val="24"/>
        </w:rPr>
        <w:t xml:space="preserve"> Sanders S.A. v. Spain</w:t>
      </w:r>
      <w:r w:rsidRPr="00600AFD">
        <w:rPr>
          <w:rFonts w:ascii="Times New Roman" w:eastAsia="Calibri" w:hAnsi="Times New Roman" w:cs="Times New Roman"/>
          <w:szCs w:val="24"/>
        </w:rPr>
        <w:t>, the Court took the view that by virtue of the ratification of the Convention, the States actually assume the obligation to organize their judicial system in such a way as to ensure compliance with Article 6, paragraph 1 of the European Convention on Human Rights. It is the duty of the judicial authorities to organize their work in a way that provides them with the ability to respond to requests.</w:t>
      </w:r>
      <w:r w:rsidRPr="00600AFD">
        <w:rPr>
          <w:rFonts w:ascii="Times New Roman" w:eastAsia="Calibri" w:hAnsi="Times New Roman" w:cs="Times New Roman"/>
          <w:szCs w:val="24"/>
          <w:vertAlign w:val="superscript"/>
        </w:rPr>
        <w:footnoteReference w:id="27"/>
      </w:r>
      <w:r w:rsidR="00824127" w:rsidRPr="00600AFD">
        <w:rPr>
          <w:rFonts w:ascii="Times New Roman" w:eastAsia="Calibri" w:hAnsi="Times New Roman" w:cs="Times New Roman"/>
          <w:szCs w:val="24"/>
        </w:rPr>
        <w:t xml:space="preserve"> </w:t>
      </w:r>
      <w:r w:rsidR="001E522A" w:rsidRPr="00600AFD">
        <w:rPr>
          <w:rFonts w:ascii="Times New Roman" w:eastAsia="Calibri" w:hAnsi="Times New Roman" w:cs="Times New Roman"/>
          <w:szCs w:val="24"/>
        </w:rPr>
        <w:t xml:space="preserve">It </w:t>
      </w:r>
      <w:r w:rsidRPr="00600AFD">
        <w:rPr>
          <w:rFonts w:ascii="Times New Roman" w:eastAsia="Calibri" w:hAnsi="Times New Roman" w:cs="Times New Roman"/>
          <w:szCs w:val="24"/>
        </w:rPr>
        <w:t>is the duty of a State to take adequate measures as soon as possible to avoid long</w:t>
      </w:r>
      <w:r w:rsidR="000F3999">
        <w:rPr>
          <w:rFonts w:ascii="Times New Roman" w:eastAsia="Calibri" w:hAnsi="Times New Roman" w:cs="Times New Roman"/>
          <w:szCs w:val="24"/>
        </w:rPr>
        <w:t>–</w:t>
      </w:r>
      <w:r w:rsidRPr="00600AFD">
        <w:rPr>
          <w:rFonts w:ascii="Times New Roman" w:eastAsia="Calibri" w:hAnsi="Times New Roman" w:cs="Times New Roman"/>
          <w:szCs w:val="24"/>
        </w:rPr>
        <w:t>term accumulation of cases. Chronic overburdening and backlogs in dealing with cases are not a valid explanation for excessive delays in proceedings.</w:t>
      </w:r>
      <w:r w:rsidRPr="00600AFD">
        <w:rPr>
          <w:rFonts w:ascii="Times New Roman" w:eastAsia="Calibri" w:hAnsi="Times New Roman" w:cs="Times New Roman"/>
          <w:szCs w:val="24"/>
          <w:vertAlign w:val="superscript"/>
        </w:rPr>
        <w:footnoteReference w:id="28"/>
      </w:r>
      <w:r w:rsidRPr="00600AFD">
        <w:rPr>
          <w:rFonts w:ascii="Times New Roman" w:eastAsia="Calibri" w:hAnsi="Times New Roman" w:cs="Times New Roman"/>
          <w:szCs w:val="24"/>
        </w:rPr>
        <w:t xml:space="preserve"> Moreover, the ECHR characterizes constant existence of a large number of backlog cases as a systematic violation of human rights that is contrary to the Convention,</w:t>
      </w:r>
      <w:r w:rsidRPr="00600AFD">
        <w:rPr>
          <w:rFonts w:ascii="Times New Roman" w:eastAsia="Calibri" w:hAnsi="Times New Roman" w:cs="Times New Roman"/>
          <w:szCs w:val="24"/>
          <w:vertAlign w:val="superscript"/>
        </w:rPr>
        <w:footnoteReference w:id="29"/>
      </w:r>
      <w:r w:rsidRPr="00600AFD">
        <w:rPr>
          <w:rFonts w:ascii="Times New Roman" w:eastAsia="Calibri" w:hAnsi="Times New Roman" w:cs="Times New Roman"/>
          <w:szCs w:val="24"/>
        </w:rPr>
        <w:t xml:space="preserve"> while its view is somewhat different when it comes to temporary delays. In the case of </w:t>
      </w:r>
      <w:r w:rsidRPr="00600AFD">
        <w:rPr>
          <w:rFonts w:ascii="Times New Roman" w:eastAsia="Calibri" w:hAnsi="Times New Roman" w:cs="Times New Roman"/>
          <w:i/>
          <w:szCs w:val="24"/>
        </w:rPr>
        <w:t>Zimmermann and Steiner v. Switzerland</w:t>
      </w:r>
      <w:r w:rsidRPr="00600AFD">
        <w:rPr>
          <w:rFonts w:ascii="Times New Roman" w:eastAsia="Calibri" w:hAnsi="Times New Roman" w:cs="Times New Roman"/>
          <w:szCs w:val="24"/>
        </w:rPr>
        <w:t>,</w:t>
      </w:r>
      <w:r w:rsidRPr="00600AFD">
        <w:rPr>
          <w:rFonts w:ascii="Times New Roman" w:eastAsia="Calibri" w:hAnsi="Times New Roman" w:cs="Times New Roman"/>
          <w:szCs w:val="24"/>
          <w:vertAlign w:val="superscript"/>
        </w:rPr>
        <w:footnoteReference w:id="30"/>
      </w:r>
      <w:r w:rsidRPr="00600AFD">
        <w:rPr>
          <w:rFonts w:ascii="Times New Roman" w:eastAsia="Calibri" w:hAnsi="Times New Roman" w:cs="Times New Roman"/>
          <w:szCs w:val="24"/>
        </w:rPr>
        <w:t xml:space="preserve"> the ECHR concluded that States cannot be held accountable for temporary delays in the work of a court if the judicial authorities have taken urgent measures to solve the problems that have arisen.</w:t>
      </w:r>
      <w:r w:rsidRPr="00600AFD">
        <w:rPr>
          <w:rFonts w:ascii="Times New Roman" w:eastAsia="Calibri" w:hAnsi="Times New Roman" w:cs="Times New Roman"/>
          <w:szCs w:val="24"/>
          <w:vertAlign w:val="superscript"/>
        </w:rPr>
        <w:footnoteReference w:id="31"/>
      </w:r>
      <w:r w:rsidRPr="00600AFD">
        <w:rPr>
          <w:rFonts w:ascii="Times New Roman" w:eastAsia="Calibri" w:hAnsi="Times New Roman" w:cs="Times New Roman"/>
          <w:szCs w:val="24"/>
        </w:rPr>
        <w:t xml:space="preserve"> Budgetary difficulties of the State also cannot be considered as valid reasons.</w:t>
      </w:r>
      <w:r w:rsidRPr="00600AFD">
        <w:rPr>
          <w:rFonts w:ascii="Times New Roman" w:eastAsia="Calibri" w:hAnsi="Times New Roman" w:cs="Times New Roman"/>
          <w:szCs w:val="24"/>
          <w:vertAlign w:val="superscript"/>
        </w:rPr>
        <w:footnoteReference w:id="32"/>
      </w:r>
    </w:p>
    <w:p w14:paraId="413A0F72" w14:textId="5A35FB55" w:rsidR="0087783D" w:rsidRPr="00600AFD" w:rsidRDefault="0087783D" w:rsidP="0087783D">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t>Bearing in mind the above</w:t>
      </w:r>
      <w:r w:rsidR="00441334" w:rsidRPr="00600AFD">
        <w:rPr>
          <w:rFonts w:ascii="Times New Roman" w:eastAsia="Calibri" w:hAnsi="Times New Roman" w:cs="Times New Roman"/>
          <w:szCs w:val="24"/>
        </w:rPr>
        <w:t xml:space="preserve">mentioned </w:t>
      </w:r>
      <w:r w:rsidRPr="00600AFD">
        <w:rPr>
          <w:rFonts w:ascii="Times New Roman" w:eastAsia="Calibri" w:hAnsi="Times New Roman" w:cs="Times New Roman"/>
          <w:szCs w:val="24"/>
        </w:rPr>
        <w:t xml:space="preserve">standards set by the ECHR case law, as well as the progress made in the period preceding the adoption of the </w:t>
      </w:r>
      <w:r w:rsidR="000F3999">
        <w:rPr>
          <w:rFonts w:ascii="Times New Roman" w:eastAsia="Calibri" w:hAnsi="Times New Roman" w:cs="Times New Roman"/>
          <w:szCs w:val="24"/>
        </w:rPr>
        <w:t>2020–2025</w:t>
      </w:r>
      <w:r w:rsidRPr="00600AFD">
        <w:rPr>
          <w:rFonts w:ascii="Times New Roman" w:eastAsia="Calibri" w:hAnsi="Times New Roman" w:cs="Times New Roman"/>
          <w:szCs w:val="24"/>
        </w:rPr>
        <w:t xml:space="preserve"> </w:t>
      </w:r>
      <w:r w:rsidR="00377BF3" w:rsidRPr="00600AFD">
        <w:rPr>
          <w:rFonts w:ascii="Times New Roman" w:eastAsia="Calibri" w:hAnsi="Times New Roman" w:cs="Times New Roman"/>
          <w:szCs w:val="24"/>
        </w:rPr>
        <w:t>J</w:t>
      </w:r>
      <w:r w:rsidR="00441334" w:rsidRPr="00600AFD">
        <w:rPr>
          <w:rFonts w:ascii="Times New Roman" w:eastAsia="Calibri" w:hAnsi="Times New Roman" w:cs="Times New Roman"/>
          <w:szCs w:val="24"/>
        </w:rPr>
        <w:t>D</w:t>
      </w:r>
      <w:r w:rsidR="00377BF3" w:rsidRPr="00600AFD">
        <w:rPr>
          <w:rFonts w:ascii="Times New Roman" w:eastAsia="Calibri" w:hAnsi="Times New Roman" w:cs="Times New Roman"/>
          <w:szCs w:val="24"/>
        </w:rPr>
        <w:t>S</w:t>
      </w:r>
      <w:r w:rsidRPr="00600AFD">
        <w:rPr>
          <w:rFonts w:ascii="Times New Roman" w:eastAsia="Calibri" w:hAnsi="Times New Roman" w:cs="Times New Roman"/>
          <w:szCs w:val="24"/>
        </w:rPr>
        <w:t xml:space="preserve">, it is necessary to continue </w:t>
      </w:r>
      <w:r w:rsidR="0090480C" w:rsidRPr="00600AFD">
        <w:rPr>
          <w:rFonts w:ascii="Times New Roman" w:eastAsia="Calibri" w:hAnsi="Times New Roman" w:cs="Times New Roman"/>
          <w:szCs w:val="24"/>
        </w:rPr>
        <w:t xml:space="preserve">working towards </w:t>
      </w:r>
      <w:r w:rsidRPr="00600AFD">
        <w:rPr>
          <w:rFonts w:ascii="Times New Roman" w:eastAsia="Calibri" w:hAnsi="Times New Roman" w:cs="Times New Roman"/>
          <w:szCs w:val="24"/>
        </w:rPr>
        <w:t>reduc</w:t>
      </w:r>
      <w:r w:rsidR="003639C2" w:rsidRPr="00600AFD">
        <w:rPr>
          <w:rFonts w:ascii="Times New Roman" w:eastAsia="Calibri" w:hAnsi="Times New Roman" w:cs="Times New Roman"/>
          <w:szCs w:val="24"/>
        </w:rPr>
        <w:t>tion of</w:t>
      </w:r>
      <w:r w:rsidRPr="00600AFD">
        <w:rPr>
          <w:rFonts w:ascii="Times New Roman" w:eastAsia="Calibri" w:hAnsi="Times New Roman" w:cs="Times New Roman"/>
          <w:szCs w:val="24"/>
        </w:rPr>
        <w:t xml:space="preserve"> the number of </w:t>
      </w:r>
      <w:r w:rsidR="004C0253" w:rsidRPr="00600AFD">
        <w:rPr>
          <w:rFonts w:ascii="Times New Roman" w:eastAsia="Calibri" w:hAnsi="Times New Roman" w:cs="Times New Roman"/>
          <w:szCs w:val="24"/>
        </w:rPr>
        <w:t>pending</w:t>
      </w:r>
      <w:r w:rsidRPr="00600AFD">
        <w:rPr>
          <w:rFonts w:ascii="Times New Roman" w:eastAsia="Calibri" w:hAnsi="Times New Roman" w:cs="Times New Roman"/>
          <w:szCs w:val="24"/>
        </w:rPr>
        <w:t xml:space="preserve">, </w:t>
      </w:r>
      <w:r w:rsidR="004C0253" w:rsidRPr="00600AFD">
        <w:rPr>
          <w:rFonts w:ascii="Times New Roman" w:eastAsia="Calibri" w:hAnsi="Times New Roman" w:cs="Times New Roman"/>
          <w:szCs w:val="24"/>
        </w:rPr>
        <w:t>particularly</w:t>
      </w:r>
      <w:r w:rsidRPr="00600AFD">
        <w:rPr>
          <w:rFonts w:ascii="Times New Roman" w:eastAsia="Calibri" w:hAnsi="Times New Roman" w:cs="Times New Roman"/>
          <w:szCs w:val="24"/>
        </w:rPr>
        <w:t xml:space="preserve"> backlog cases, </w:t>
      </w:r>
      <w:r w:rsidR="003639C2" w:rsidRPr="00600AFD">
        <w:rPr>
          <w:rFonts w:ascii="Times New Roman" w:eastAsia="Calibri" w:hAnsi="Times New Roman" w:cs="Times New Roman"/>
          <w:szCs w:val="24"/>
        </w:rPr>
        <w:t xml:space="preserve">to </w:t>
      </w:r>
      <w:r w:rsidRPr="00600AFD">
        <w:rPr>
          <w:rFonts w:ascii="Times New Roman" w:eastAsia="Calibri" w:hAnsi="Times New Roman" w:cs="Times New Roman"/>
          <w:szCs w:val="24"/>
        </w:rPr>
        <w:t>relieve the courts</w:t>
      </w:r>
      <w:r w:rsidR="00101270"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 xml:space="preserve">as well as </w:t>
      </w:r>
      <w:r w:rsidR="002A5657" w:rsidRPr="00600AFD">
        <w:rPr>
          <w:rFonts w:ascii="Times New Roman" w:eastAsia="Calibri" w:hAnsi="Times New Roman" w:cs="Times New Roman"/>
          <w:szCs w:val="24"/>
        </w:rPr>
        <w:t xml:space="preserve">on </w:t>
      </w:r>
      <w:r w:rsidRPr="00600AFD">
        <w:rPr>
          <w:rFonts w:ascii="Times New Roman" w:eastAsia="Calibri" w:hAnsi="Times New Roman" w:cs="Times New Roman"/>
          <w:szCs w:val="24"/>
        </w:rPr>
        <w:t xml:space="preserve">accessibility and harmonization of </w:t>
      </w:r>
      <w:r w:rsidR="008F4382" w:rsidRPr="00600AFD">
        <w:rPr>
          <w:rFonts w:ascii="Times New Roman" w:eastAsia="Calibri" w:hAnsi="Times New Roman" w:cs="Times New Roman"/>
          <w:szCs w:val="24"/>
        </w:rPr>
        <w:t>case law</w:t>
      </w:r>
      <w:r w:rsidRPr="00600AFD">
        <w:rPr>
          <w:rFonts w:ascii="Times New Roman" w:eastAsia="Calibri" w:hAnsi="Times New Roman" w:cs="Times New Roman"/>
          <w:szCs w:val="24"/>
        </w:rPr>
        <w:t>.</w:t>
      </w:r>
      <w:r w:rsidR="004F4AE0" w:rsidRPr="00600AFD">
        <w:rPr>
          <w:rFonts w:ascii="Times New Roman" w:eastAsia="Calibri" w:hAnsi="Times New Roman" w:cs="Times New Roman"/>
          <w:szCs w:val="24"/>
        </w:rPr>
        <w:t xml:space="preserve"> </w:t>
      </w:r>
      <w:r w:rsidR="00257DFD" w:rsidRPr="00600AFD">
        <w:rPr>
          <w:rFonts w:ascii="Times New Roman" w:eastAsia="Calibri" w:hAnsi="Times New Roman" w:cs="Times New Roman"/>
          <w:szCs w:val="24"/>
        </w:rPr>
        <w:t xml:space="preserve">At the same time, it is necessary to undertake adequate measures </w:t>
      </w:r>
      <w:r w:rsidR="00AB5733" w:rsidRPr="00600AFD">
        <w:rPr>
          <w:rFonts w:ascii="Times New Roman" w:eastAsia="Calibri" w:hAnsi="Times New Roman" w:cs="Times New Roman"/>
          <w:szCs w:val="24"/>
        </w:rPr>
        <w:t>that</w:t>
      </w:r>
      <w:r w:rsidR="00DF26CB" w:rsidRPr="00600AFD">
        <w:rPr>
          <w:rFonts w:ascii="Times New Roman" w:eastAsia="Calibri" w:hAnsi="Times New Roman" w:cs="Times New Roman"/>
          <w:szCs w:val="24"/>
        </w:rPr>
        <w:t xml:space="preserve"> will be conducive to a greater </w:t>
      </w:r>
      <w:r w:rsidR="009D36F9" w:rsidRPr="00600AFD">
        <w:rPr>
          <w:rFonts w:ascii="Times New Roman" w:eastAsia="Calibri" w:hAnsi="Times New Roman" w:cs="Times New Roman"/>
          <w:szCs w:val="24"/>
        </w:rPr>
        <w:t xml:space="preserve">degree </w:t>
      </w:r>
      <w:r w:rsidR="002A651B" w:rsidRPr="00600AFD">
        <w:rPr>
          <w:rFonts w:ascii="Times New Roman" w:eastAsia="Calibri" w:hAnsi="Times New Roman" w:cs="Times New Roman"/>
          <w:szCs w:val="24"/>
        </w:rPr>
        <w:t>of information</w:t>
      </w:r>
      <w:r w:rsidR="009C7A32" w:rsidRPr="00600AFD">
        <w:rPr>
          <w:rFonts w:ascii="Times New Roman" w:eastAsia="Calibri" w:hAnsi="Times New Roman" w:cs="Times New Roman"/>
          <w:szCs w:val="24"/>
        </w:rPr>
        <w:t xml:space="preserve"> </w:t>
      </w:r>
      <w:r w:rsidR="009119EB" w:rsidRPr="00600AFD">
        <w:rPr>
          <w:rFonts w:ascii="Times New Roman" w:eastAsia="Calibri" w:hAnsi="Times New Roman" w:cs="Times New Roman"/>
          <w:szCs w:val="24"/>
        </w:rPr>
        <w:t xml:space="preserve">available to </w:t>
      </w:r>
      <w:r w:rsidR="00AB5733" w:rsidRPr="00600AFD">
        <w:rPr>
          <w:rFonts w:ascii="Times New Roman" w:eastAsia="Calibri" w:hAnsi="Times New Roman" w:cs="Times New Roman"/>
          <w:szCs w:val="24"/>
        </w:rPr>
        <w:t xml:space="preserve">the </w:t>
      </w:r>
      <w:r w:rsidR="009C7A32" w:rsidRPr="00600AFD">
        <w:rPr>
          <w:rFonts w:ascii="Times New Roman" w:eastAsia="Calibri" w:hAnsi="Times New Roman" w:cs="Times New Roman"/>
          <w:szCs w:val="24"/>
        </w:rPr>
        <w:t>professional and general public</w:t>
      </w:r>
      <w:r w:rsidR="005D3463" w:rsidRPr="00600AFD">
        <w:rPr>
          <w:rFonts w:ascii="Times New Roman" w:eastAsia="Calibri" w:hAnsi="Times New Roman" w:cs="Times New Roman"/>
          <w:szCs w:val="24"/>
        </w:rPr>
        <w:t>,</w:t>
      </w:r>
      <w:r w:rsidR="009119EB" w:rsidRPr="00600AFD">
        <w:rPr>
          <w:rFonts w:ascii="Times New Roman" w:eastAsia="Calibri" w:hAnsi="Times New Roman" w:cs="Times New Roman"/>
          <w:szCs w:val="24"/>
        </w:rPr>
        <w:t xml:space="preserve"> </w:t>
      </w:r>
      <w:r w:rsidR="00AB5733" w:rsidRPr="00600AFD">
        <w:rPr>
          <w:rFonts w:ascii="Times New Roman" w:eastAsia="Calibri" w:hAnsi="Times New Roman" w:cs="Times New Roman"/>
          <w:szCs w:val="24"/>
        </w:rPr>
        <w:t>regarding</w:t>
      </w:r>
      <w:r w:rsidR="009119EB" w:rsidRPr="00600AFD">
        <w:rPr>
          <w:rFonts w:ascii="Times New Roman" w:eastAsia="Calibri" w:hAnsi="Times New Roman" w:cs="Times New Roman"/>
          <w:szCs w:val="24"/>
        </w:rPr>
        <w:t xml:space="preserve"> </w:t>
      </w:r>
      <w:r w:rsidR="00867F46" w:rsidRPr="00600AFD">
        <w:rPr>
          <w:rFonts w:ascii="Times New Roman" w:eastAsia="Calibri" w:hAnsi="Times New Roman" w:cs="Times New Roman"/>
          <w:szCs w:val="24"/>
        </w:rPr>
        <w:t>accessibility</w:t>
      </w:r>
      <w:r w:rsidR="009119EB" w:rsidRPr="00600AFD">
        <w:rPr>
          <w:rFonts w:ascii="Times New Roman" w:eastAsia="Calibri" w:hAnsi="Times New Roman" w:cs="Times New Roman"/>
          <w:szCs w:val="24"/>
        </w:rPr>
        <w:t xml:space="preserve"> of regulations</w:t>
      </w:r>
      <w:r w:rsidR="005D3463" w:rsidRPr="00600AFD">
        <w:rPr>
          <w:rFonts w:ascii="Times New Roman" w:eastAsia="Calibri" w:hAnsi="Times New Roman" w:cs="Times New Roman"/>
          <w:szCs w:val="24"/>
        </w:rPr>
        <w:t xml:space="preserve">, which have become publicly available on portals such as that of the </w:t>
      </w:r>
      <w:r w:rsidR="00D82920" w:rsidRPr="00D82920">
        <w:rPr>
          <w:rFonts w:ascii="Times New Roman" w:eastAsia="Calibri" w:hAnsi="Times New Roman" w:cs="Times New Roman"/>
          <w:szCs w:val="24"/>
        </w:rPr>
        <w:t>UZZPRO</w:t>
      </w:r>
      <w:r w:rsidR="00D82920">
        <w:rPr>
          <w:rFonts w:ascii="Times New Roman" w:eastAsia="Calibri" w:hAnsi="Times New Roman" w:cs="Times New Roman"/>
          <w:szCs w:val="24"/>
        </w:rPr>
        <w:t xml:space="preserve"> </w:t>
      </w:r>
      <w:r w:rsidR="00A078BC" w:rsidRPr="00600AFD">
        <w:rPr>
          <w:rFonts w:ascii="Times New Roman" w:eastAsia="Calibri" w:hAnsi="Times New Roman" w:cs="Times New Roman"/>
          <w:szCs w:val="24"/>
        </w:rPr>
        <w:t>(</w:t>
      </w:r>
      <w:r w:rsidR="00045724" w:rsidRPr="00600AFD">
        <w:rPr>
          <w:rFonts w:ascii="Times New Roman" w:eastAsia="Calibri" w:hAnsi="Times New Roman" w:cs="Times New Roman"/>
          <w:szCs w:val="24"/>
        </w:rPr>
        <w:t>Administration for Joint Services of the Republic Bodies</w:t>
      </w:r>
      <w:r w:rsidR="00A078BC" w:rsidRPr="00600AFD">
        <w:rPr>
          <w:rFonts w:ascii="Times New Roman" w:eastAsia="Calibri" w:hAnsi="Times New Roman" w:cs="Times New Roman"/>
          <w:szCs w:val="24"/>
        </w:rPr>
        <w:t>)</w:t>
      </w:r>
      <w:r w:rsidR="005D3463" w:rsidRPr="00600AFD">
        <w:rPr>
          <w:rFonts w:ascii="Times New Roman" w:eastAsia="Calibri" w:hAnsi="Times New Roman" w:cs="Times New Roman"/>
          <w:szCs w:val="24"/>
        </w:rPr>
        <w:t xml:space="preserve"> </w:t>
      </w:r>
      <w:r w:rsidR="00AB5733" w:rsidRPr="00600AFD">
        <w:rPr>
          <w:rFonts w:ascii="Times New Roman" w:eastAsia="Calibri" w:hAnsi="Times New Roman" w:cs="Times New Roman"/>
          <w:szCs w:val="24"/>
        </w:rPr>
        <w:t>during</w:t>
      </w:r>
      <w:r w:rsidR="00F76D3D" w:rsidRPr="00600AFD">
        <w:rPr>
          <w:rFonts w:ascii="Times New Roman" w:eastAsia="Calibri" w:hAnsi="Times New Roman" w:cs="Times New Roman"/>
          <w:szCs w:val="24"/>
        </w:rPr>
        <w:t xml:space="preserve"> the 2013</w:t>
      </w:r>
      <w:r w:rsidR="000F3999">
        <w:rPr>
          <w:rFonts w:ascii="Times New Roman" w:eastAsia="Calibri" w:hAnsi="Times New Roman" w:cs="Times New Roman"/>
          <w:szCs w:val="24"/>
        </w:rPr>
        <w:t>–</w:t>
      </w:r>
      <w:r w:rsidR="00F76D3D" w:rsidRPr="00600AFD">
        <w:rPr>
          <w:rFonts w:ascii="Times New Roman" w:eastAsia="Calibri" w:hAnsi="Times New Roman" w:cs="Times New Roman"/>
          <w:szCs w:val="24"/>
        </w:rPr>
        <w:t xml:space="preserve">2018 </w:t>
      </w:r>
      <w:r w:rsidR="00824127" w:rsidRPr="00600AFD">
        <w:rPr>
          <w:rFonts w:ascii="Times New Roman" w:eastAsia="Calibri" w:hAnsi="Times New Roman" w:cs="Times New Roman"/>
          <w:szCs w:val="24"/>
        </w:rPr>
        <w:t>NJRS</w:t>
      </w:r>
      <w:r w:rsidR="00F76D3D" w:rsidRPr="00600AFD">
        <w:rPr>
          <w:rFonts w:ascii="Times New Roman" w:eastAsia="Calibri" w:hAnsi="Times New Roman" w:cs="Times New Roman"/>
          <w:szCs w:val="24"/>
        </w:rPr>
        <w:t xml:space="preserve"> implementation period. </w:t>
      </w:r>
      <w:r w:rsidRPr="00600AFD">
        <w:rPr>
          <w:rFonts w:ascii="Times New Roman" w:eastAsia="Calibri" w:hAnsi="Times New Roman" w:cs="Times New Roman"/>
          <w:szCs w:val="24"/>
        </w:rPr>
        <w:t xml:space="preserve">In accordance with the interim benchmarks for Chapter 23, Serbia should improve the efficiency of its judiciary by adopting and implementing a human resource strategy for the entire judiciary and a national program to reduce the number of backlog cases. In this regard, the adoption of the Unified Program for the Resolution of Backlog Cases in the Republic of Serbia, the Amended Unified Program for </w:t>
      </w:r>
      <w:r w:rsidRPr="00600AFD">
        <w:rPr>
          <w:rFonts w:ascii="Times New Roman" w:eastAsia="Calibri" w:hAnsi="Times New Roman" w:cs="Times New Roman"/>
          <w:szCs w:val="24"/>
        </w:rPr>
        <w:lastRenderedPageBreak/>
        <w:t xml:space="preserve">the Resolution of Backlog Cases, and the Special Program </w:t>
      </w:r>
      <w:r w:rsidR="00006FE3" w:rsidRPr="00600AFD">
        <w:rPr>
          <w:rFonts w:ascii="Times New Roman" w:eastAsia="Calibri" w:hAnsi="Times New Roman" w:cs="Times New Roman"/>
          <w:szCs w:val="24"/>
        </w:rPr>
        <w:t xml:space="preserve">of </w:t>
      </w:r>
      <w:r w:rsidRPr="00600AFD">
        <w:rPr>
          <w:rFonts w:ascii="Times New Roman" w:eastAsia="Calibri" w:hAnsi="Times New Roman" w:cs="Times New Roman"/>
          <w:szCs w:val="24"/>
        </w:rPr>
        <w:t xml:space="preserve">Measures for the Resolution of Backlog Enforcement Cases in the Courts in the Republic of Serbia </w:t>
      </w:r>
      <w:r w:rsidR="00EC594F" w:rsidRPr="00600AFD">
        <w:rPr>
          <w:rFonts w:ascii="Times New Roman" w:eastAsia="Calibri" w:hAnsi="Times New Roman" w:cs="Times New Roman"/>
          <w:szCs w:val="24"/>
        </w:rPr>
        <w:t xml:space="preserve">for the </w:t>
      </w:r>
      <w:r w:rsidRPr="00600AFD">
        <w:rPr>
          <w:rFonts w:ascii="Times New Roman" w:eastAsia="Calibri" w:hAnsi="Times New Roman" w:cs="Times New Roman"/>
          <w:szCs w:val="24"/>
        </w:rPr>
        <w:t>2015</w:t>
      </w:r>
      <w:r w:rsidR="000F3999">
        <w:rPr>
          <w:rFonts w:ascii="Times New Roman" w:eastAsia="Calibri" w:hAnsi="Times New Roman" w:cs="Times New Roman"/>
          <w:szCs w:val="24"/>
        </w:rPr>
        <w:t>–</w:t>
      </w:r>
      <w:r w:rsidRPr="00600AFD">
        <w:rPr>
          <w:rFonts w:ascii="Times New Roman" w:eastAsia="Calibri" w:hAnsi="Times New Roman" w:cs="Times New Roman"/>
          <w:szCs w:val="24"/>
        </w:rPr>
        <w:t>2018</w:t>
      </w:r>
      <w:r w:rsidR="00EC594F" w:rsidRPr="00600AFD">
        <w:rPr>
          <w:rFonts w:ascii="Times New Roman" w:eastAsia="Calibri" w:hAnsi="Times New Roman" w:cs="Times New Roman"/>
          <w:szCs w:val="24"/>
        </w:rPr>
        <w:t xml:space="preserve"> period</w:t>
      </w:r>
      <w:r w:rsidR="002D1F46" w:rsidRPr="00600AFD">
        <w:rPr>
          <w:rFonts w:ascii="Times New Roman" w:eastAsia="Calibri" w:hAnsi="Times New Roman" w:cs="Times New Roman"/>
          <w:szCs w:val="24"/>
        </w:rPr>
        <w:t>,</w:t>
      </w:r>
      <w:r w:rsidRPr="00600AFD">
        <w:rPr>
          <w:rFonts w:ascii="Times New Roman" w:eastAsia="Calibri" w:hAnsi="Times New Roman" w:cs="Times New Roman"/>
          <w:szCs w:val="24"/>
        </w:rPr>
        <w:t xml:space="preserve"> </w:t>
      </w:r>
      <w:r w:rsidR="0001484E" w:rsidRPr="00600AFD">
        <w:rPr>
          <w:rFonts w:ascii="Times New Roman" w:eastAsia="Calibri" w:hAnsi="Times New Roman" w:cs="Times New Roman"/>
          <w:szCs w:val="24"/>
        </w:rPr>
        <w:t>constitute</w:t>
      </w:r>
      <w:r w:rsidRPr="00600AFD">
        <w:rPr>
          <w:rFonts w:ascii="Times New Roman" w:eastAsia="Calibri" w:hAnsi="Times New Roman" w:cs="Times New Roman"/>
          <w:szCs w:val="24"/>
        </w:rPr>
        <w:t xml:space="preserve"> an important step in </w:t>
      </w:r>
      <w:r w:rsidR="003E0EF2" w:rsidRPr="00600AFD">
        <w:rPr>
          <w:rFonts w:ascii="Times New Roman" w:eastAsia="Calibri" w:hAnsi="Times New Roman" w:cs="Times New Roman"/>
          <w:szCs w:val="24"/>
        </w:rPr>
        <w:t xml:space="preserve">tackling </w:t>
      </w:r>
      <w:r w:rsidRPr="00600AFD">
        <w:rPr>
          <w:rFonts w:ascii="Times New Roman" w:eastAsia="Calibri" w:hAnsi="Times New Roman" w:cs="Times New Roman"/>
          <w:szCs w:val="24"/>
        </w:rPr>
        <w:t xml:space="preserve">the problem of </w:t>
      </w:r>
      <w:r w:rsidR="002D1F46" w:rsidRPr="00600AFD">
        <w:rPr>
          <w:rFonts w:ascii="Times New Roman" w:eastAsia="Calibri" w:hAnsi="Times New Roman" w:cs="Times New Roman"/>
          <w:szCs w:val="24"/>
        </w:rPr>
        <w:t>the</w:t>
      </w:r>
      <w:r w:rsidRPr="00600AFD">
        <w:rPr>
          <w:rFonts w:ascii="Times New Roman" w:eastAsia="Calibri" w:hAnsi="Times New Roman" w:cs="Times New Roman"/>
          <w:szCs w:val="24"/>
        </w:rPr>
        <w:t xml:space="preserve"> large number of such cases. However, a </w:t>
      </w:r>
      <w:r w:rsidR="002D1F46" w:rsidRPr="00600AFD">
        <w:rPr>
          <w:rFonts w:ascii="Times New Roman" w:eastAsia="Calibri" w:hAnsi="Times New Roman" w:cs="Times New Roman"/>
          <w:szCs w:val="24"/>
        </w:rPr>
        <w:t>significant</w:t>
      </w:r>
      <w:r w:rsidRPr="00600AFD">
        <w:rPr>
          <w:rFonts w:ascii="Times New Roman" w:eastAsia="Calibri" w:hAnsi="Times New Roman" w:cs="Times New Roman"/>
          <w:szCs w:val="24"/>
        </w:rPr>
        <w:t xml:space="preserve"> number of </w:t>
      </w:r>
      <w:r w:rsidR="003E0EF2" w:rsidRPr="00600AFD">
        <w:rPr>
          <w:rFonts w:ascii="Times New Roman" w:eastAsia="Calibri" w:hAnsi="Times New Roman" w:cs="Times New Roman"/>
          <w:szCs w:val="24"/>
        </w:rPr>
        <w:t>pending</w:t>
      </w:r>
      <w:r w:rsidRPr="00600AFD">
        <w:rPr>
          <w:rFonts w:ascii="Times New Roman" w:eastAsia="Calibri" w:hAnsi="Times New Roman" w:cs="Times New Roman"/>
          <w:szCs w:val="24"/>
        </w:rPr>
        <w:t xml:space="preserve"> cases – particularly backlog cases – requires additional comprehensive and long</w:t>
      </w:r>
      <w:r w:rsidR="000F3999">
        <w:rPr>
          <w:rFonts w:ascii="Times New Roman" w:eastAsia="Calibri" w:hAnsi="Times New Roman" w:cs="Times New Roman"/>
          <w:szCs w:val="24"/>
        </w:rPr>
        <w:t>–</w:t>
      </w:r>
      <w:r w:rsidRPr="00600AFD">
        <w:rPr>
          <w:rFonts w:ascii="Times New Roman" w:eastAsia="Calibri" w:hAnsi="Times New Roman" w:cs="Times New Roman"/>
          <w:szCs w:val="24"/>
        </w:rPr>
        <w:t xml:space="preserve">term measures. </w:t>
      </w:r>
      <w:r w:rsidR="00902E79" w:rsidRPr="00600AFD">
        <w:rPr>
          <w:rFonts w:ascii="Times New Roman" w:eastAsia="Calibri" w:hAnsi="Times New Roman" w:cs="Times New Roman"/>
          <w:szCs w:val="24"/>
        </w:rPr>
        <w:t>In addition</w:t>
      </w:r>
      <w:r w:rsidRPr="00600AFD">
        <w:rPr>
          <w:rFonts w:ascii="Times New Roman" w:eastAsia="Calibri" w:hAnsi="Times New Roman" w:cs="Times New Roman"/>
          <w:szCs w:val="24"/>
        </w:rPr>
        <w:t>, a comprehensive human resources strategy that would increase efficiency through better allocation of human resources in the judiciary and better motivate employees through a system of rewards and promotions to encourage high</w:t>
      </w:r>
      <w:r w:rsidR="000F3999">
        <w:rPr>
          <w:rFonts w:ascii="Times New Roman" w:eastAsia="Calibri" w:hAnsi="Times New Roman" w:cs="Times New Roman"/>
          <w:szCs w:val="24"/>
        </w:rPr>
        <w:t>–</w:t>
      </w:r>
      <w:r w:rsidRPr="00600AFD">
        <w:rPr>
          <w:rFonts w:ascii="Times New Roman" w:eastAsia="Calibri" w:hAnsi="Times New Roman" w:cs="Times New Roman"/>
          <w:szCs w:val="24"/>
        </w:rPr>
        <w:t xml:space="preserve">quality work and promptness in resolving cases has not yet been adopted, and it is necessary to conclude its preparation in the </w:t>
      </w:r>
      <w:r w:rsidR="009826BA" w:rsidRPr="00600AFD">
        <w:rPr>
          <w:rFonts w:ascii="Times New Roman" w:eastAsia="Calibri" w:hAnsi="Times New Roman" w:cs="Times New Roman"/>
          <w:szCs w:val="24"/>
        </w:rPr>
        <w:t>up</w:t>
      </w:r>
      <w:r w:rsidR="00B35027" w:rsidRPr="00600AFD">
        <w:rPr>
          <w:rFonts w:ascii="Times New Roman" w:eastAsia="Calibri" w:hAnsi="Times New Roman" w:cs="Times New Roman"/>
          <w:szCs w:val="24"/>
        </w:rPr>
        <w:t xml:space="preserve">coming </w:t>
      </w:r>
      <w:r w:rsidRPr="00600AFD">
        <w:rPr>
          <w:rFonts w:ascii="Times New Roman" w:eastAsia="Calibri" w:hAnsi="Times New Roman" w:cs="Times New Roman"/>
          <w:szCs w:val="24"/>
        </w:rPr>
        <w:t>period.</w:t>
      </w:r>
    </w:p>
    <w:p w14:paraId="6B6F68C5"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The establishment of a new network of courts, which </w:t>
      </w:r>
      <w:r w:rsidR="003D1C3E" w:rsidRPr="00600AFD">
        <w:rPr>
          <w:rFonts w:ascii="Times New Roman" w:eastAsia="Calibri" w:hAnsi="Times New Roman" w:cs="Times New Roman"/>
          <w:szCs w:val="24"/>
        </w:rPr>
        <w:t>was launched</w:t>
      </w:r>
      <w:r w:rsidRPr="00600AFD">
        <w:rPr>
          <w:rFonts w:ascii="Times New Roman" w:eastAsia="Calibri" w:hAnsi="Times New Roman" w:cs="Times New Roman"/>
          <w:szCs w:val="24"/>
        </w:rPr>
        <w:t xml:space="preserve"> on </w:t>
      </w:r>
      <w:r w:rsidR="00C2167A" w:rsidRPr="00600AFD">
        <w:rPr>
          <w:rFonts w:ascii="Times New Roman" w:eastAsia="Calibri" w:hAnsi="Times New Roman" w:cs="Times New Roman"/>
          <w:szCs w:val="24"/>
        </w:rPr>
        <w:t xml:space="preserve">January </w:t>
      </w:r>
      <w:r w:rsidRPr="00600AFD">
        <w:rPr>
          <w:rFonts w:ascii="Times New Roman" w:eastAsia="Calibri" w:hAnsi="Times New Roman" w:cs="Times New Roman"/>
          <w:szCs w:val="24"/>
        </w:rPr>
        <w:t>1</w:t>
      </w:r>
      <w:r w:rsidR="00C2167A" w:rsidRPr="00600AFD">
        <w:rPr>
          <w:rFonts w:ascii="Times New Roman" w:eastAsia="Calibri" w:hAnsi="Times New Roman" w:cs="Times New Roman"/>
          <w:szCs w:val="24"/>
        </w:rPr>
        <w:t>,</w:t>
      </w:r>
      <w:r w:rsidRPr="00600AFD">
        <w:rPr>
          <w:rFonts w:ascii="Times New Roman" w:eastAsia="Calibri" w:hAnsi="Times New Roman" w:cs="Times New Roman"/>
          <w:szCs w:val="24"/>
        </w:rPr>
        <w:t xml:space="preserve"> 2014, created the conditions required for reducing the number of backlog cases, as well as those necessary for a more </w:t>
      </w:r>
      <w:r w:rsidR="008671C1" w:rsidRPr="00600AFD">
        <w:rPr>
          <w:rFonts w:ascii="Times New Roman" w:eastAsia="Calibri" w:hAnsi="Times New Roman" w:cs="Times New Roman"/>
          <w:szCs w:val="24"/>
        </w:rPr>
        <w:t>equitable</w:t>
      </w:r>
      <w:r w:rsidRPr="00600AFD">
        <w:rPr>
          <w:rFonts w:ascii="Times New Roman" w:eastAsia="Calibri" w:hAnsi="Times New Roman" w:cs="Times New Roman"/>
          <w:szCs w:val="24"/>
        </w:rPr>
        <w:t xml:space="preserve"> distribution of cases. However, the implementation of these measures did not achieve the desired results in the </w:t>
      </w:r>
      <w:r w:rsidR="00C2167A" w:rsidRPr="00600AFD">
        <w:rPr>
          <w:rFonts w:ascii="Times New Roman" w:eastAsia="Calibri" w:hAnsi="Times New Roman" w:cs="Times New Roman"/>
          <w:szCs w:val="24"/>
        </w:rPr>
        <w:t xml:space="preserve">appellate seat </w:t>
      </w:r>
      <w:r w:rsidRPr="00600AFD">
        <w:rPr>
          <w:rFonts w:ascii="Times New Roman" w:eastAsia="Calibri" w:hAnsi="Times New Roman" w:cs="Times New Roman"/>
          <w:szCs w:val="24"/>
        </w:rPr>
        <w:t xml:space="preserve">courts, and it is therefore necessary to continue taking additional steps in order to </w:t>
      </w:r>
      <w:r w:rsidR="008671C1" w:rsidRPr="00600AFD">
        <w:rPr>
          <w:rFonts w:ascii="Times New Roman" w:eastAsia="Calibri" w:hAnsi="Times New Roman" w:cs="Times New Roman"/>
          <w:szCs w:val="24"/>
        </w:rPr>
        <w:t xml:space="preserve">relieve the workload </w:t>
      </w:r>
      <w:r w:rsidR="00795A6F" w:rsidRPr="00600AFD">
        <w:rPr>
          <w:rFonts w:ascii="Times New Roman" w:eastAsia="Calibri" w:hAnsi="Times New Roman" w:cs="Times New Roman"/>
          <w:szCs w:val="24"/>
        </w:rPr>
        <w:t xml:space="preserve">of </w:t>
      </w:r>
      <w:r w:rsidRPr="00600AFD">
        <w:rPr>
          <w:rFonts w:ascii="Times New Roman" w:eastAsia="Calibri" w:hAnsi="Times New Roman" w:cs="Times New Roman"/>
          <w:szCs w:val="24"/>
        </w:rPr>
        <w:t xml:space="preserve">these courts. In this regard, it would be desirable to conduct a comprehensive analysis of the costs of court proceedings, </w:t>
      </w:r>
      <w:r w:rsidR="00A4461C" w:rsidRPr="00600AFD">
        <w:rPr>
          <w:rFonts w:ascii="Times New Roman" w:eastAsia="Calibri" w:hAnsi="Times New Roman" w:cs="Times New Roman"/>
          <w:szCs w:val="24"/>
        </w:rPr>
        <w:t xml:space="preserve">disaggregated by </w:t>
      </w:r>
      <w:r w:rsidRPr="00600AFD">
        <w:rPr>
          <w:rFonts w:ascii="Times New Roman" w:eastAsia="Calibri" w:hAnsi="Times New Roman" w:cs="Times New Roman"/>
          <w:szCs w:val="24"/>
        </w:rPr>
        <w:t>matter and caseload,</w:t>
      </w:r>
      <w:r w:rsidR="00C32372" w:rsidRPr="00600AFD">
        <w:rPr>
          <w:rFonts w:ascii="Times New Roman" w:eastAsia="Calibri" w:hAnsi="Times New Roman" w:cs="Times New Roman"/>
          <w:szCs w:val="24"/>
        </w:rPr>
        <w:t xml:space="preserve"> as well as other necessary analyses </w:t>
      </w:r>
      <w:r w:rsidR="000140F8" w:rsidRPr="00600AFD">
        <w:rPr>
          <w:rFonts w:ascii="Times New Roman" w:eastAsia="Calibri" w:hAnsi="Times New Roman" w:cs="Times New Roman"/>
          <w:szCs w:val="24"/>
        </w:rPr>
        <w:t>of courts’ and judges’ workload,</w:t>
      </w:r>
      <w:r w:rsidRPr="00600AFD">
        <w:rPr>
          <w:rFonts w:ascii="Times New Roman" w:eastAsia="Calibri" w:hAnsi="Times New Roman" w:cs="Times New Roman"/>
          <w:szCs w:val="24"/>
        </w:rPr>
        <w:t xml:space="preserve"> in order to be able to make further strategic decisions </w:t>
      </w:r>
      <w:r w:rsidR="005D3463" w:rsidRPr="00600AFD">
        <w:rPr>
          <w:rFonts w:ascii="Times New Roman" w:eastAsia="Calibri" w:hAnsi="Times New Roman" w:cs="Times New Roman"/>
          <w:szCs w:val="24"/>
        </w:rPr>
        <w:t xml:space="preserve">on advancing the court network that would be </w:t>
      </w:r>
      <w:r w:rsidRPr="00600AFD">
        <w:rPr>
          <w:rFonts w:ascii="Times New Roman" w:eastAsia="Calibri" w:hAnsi="Times New Roman" w:cs="Times New Roman"/>
          <w:szCs w:val="24"/>
        </w:rPr>
        <w:t xml:space="preserve">based on objective </w:t>
      </w:r>
      <w:r w:rsidR="00FD395D" w:rsidRPr="00600AFD">
        <w:rPr>
          <w:rFonts w:ascii="Times New Roman" w:eastAsia="Calibri" w:hAnsi="Times New Roman" w:cs="Times New Roman"/>
          <w:szCs w:val="24"/>
        </w:rPr>
        <w:t>data</w:t>
      </w:r>
      <w:r w:rsidRPr="00600AFD">
        <w:rPr>
          <w:rFonts w:ascii="Times New Roman" w:eastAsia="Calibri" w:hAnsi="Times New Roman" w:cs="Times New Roman"/>
          <w:szCs w:val="24"/>
        </w:rPr>
        <w:t>.</w:t>
      </w:r>
      <w:r w:rsidR="00502F0E" w:rsidRPr="00600AFD">
        <w:rPr>
          <w:rFonts w:ascii="Times New Roman" w:eastAsia="Calibri" w:hAnsi="Times New Roman" w:cs="Times New Roman"/>
          <w:szCs w:val="24"/>
        </w:rPr>
        <w:t xml:space="preserve"> Particular attention should be focused on courts on the territory of the City of Belgrade </w:t>
      </w:r>
      <w:r w:rsidR="00D32B69" w:rsidRPr="00600AFD">
        <w:rPr>
          <w:rFonts w:ascii="Times New Roman" w:eastAsia="Calibri" w:hAnsi="Times New Roman" w:cs="Times New Roman"/>
          <w:szCs w:val="24"/>
        </w:rPr>
        <w:t xml:space="preserve">with a view to </w:t>
      </w:r>
      <w:r w:rsidR="009A2475" w:rsidRPr="00600AFD">
        <w:rPr>
          <w:rFonts w:ascii="Times New Roman" w:eastAsia="Calibri" w:hAnsi="Times New Roman" w:cs="Times New Roman"/>
          <w:szCs w:val="24"/>
        </w:rPr>
        <w:t xml:space="preserve">coping with the </w:t>
      </w:r>
      <w:r w:rsidR="00655910" w:rsidRPr="00600AFD">
        <w:rPr>
          <w:rFonts w:ascii="Times New Roman" w:eastAsia="Calibri" w:hAnsi="Times New Roman" w:cs="Times New Roman"/>
          <w:szCs w:val="24"/>
        </w:rPr>
        <w:t xml:space="preserve">growing </w:t>
      </w:r>
      <w:r w:rsidR="009A2475" w:rsidRPr="00600AFD">
        <w:rPr>
          <w:rFonts w:ascii="Times New Roman" w:eastAsia="Calibri" w:hAnsi="Times New Roman" w:cs="Times New Roman"/>
          <w:szCs w:val="24"/>
        </w:rPr>
        <w:t>inflow of cases and</w:t>
      </w:r>
      <w:r w:rsidR="00B8293E" w:rsidRPr="00600AFD">
        <w:rPr>
          <w:rFonts w:ascii="Times New Roman" w:eastAsia="Calibri" w:hAnsi="Times New Roman" w:cs="Times New Roman"/>
          <w:szCs w:val="24"/>
        </w:rPr>
        <w:t xml:space="preserve"> resolving the issue of </w:t>
      </w:r>
      <w:r w:rsidR="00F248E5" w:rsidRPr="00600AFD">
        <w:rPr>
          <w:rFonts w:ascii="Times New Roman" w:eastAsia="Calibri" w:hAnsi="Times New Roman" w:cs="Times New Roman"/>
          <w:szCs w:val="24"/>
        </w:rPr>
        <w:t xml:space="preserve">the </w:t>
      </w:r>
      <w:r w:rsidR="00B8293E" w:rsidRPr="00600AFD">
        <w:rPr>
          <w:rFonts w:ascii="Times New Roman" w:eastAsia="Calibri" w:hAnsi="Times New Roman" w:cs="Times New Roman"/>
          <w:szCs w:val="24"/>
        </w:rPr>
        <w:t>inequitable</w:t>
      </w:r>
      <w:r w:rsidR="005F7BAC" w:rsidRPr="00600AFD">
        <w:rPr>
          <w:rFonts w:ascii="Times New Roman" w:eastAsia="Calibri" w:hAnsi="Times New Roman" w:cs="Times New Roman"/>
          <w:szCs w:val="24"/>
        </w:rPr>
        <w:t>/</w:t>
      </w:r>
      <w:r w:rsidR="00F248E5" w:rsidRPr="00600AFD">
        <w:rPr>
          <w:rFonts w:ascii="Times New Roman" w:eastAsia="Calibri" w:hAnsi="Times New Roman" w:cs="Times New Roman"/>
          <w:szCs w:val="24"/>
        </w:rPr>
        <w:t>large</w:t>
      </w:r>
      <w:r w:rsidR="005F7BAC" w:rsidRPr="00600AFD">
        <w:rPr>
          <w:rFonts w:ascii="Times New Roman" w:eastAsia="Calibri" w:hAnsi="Times New Roman" w:cs="Times New Roman"/>
          <w:szCs w:val="24"/>
        </w:rPr>
        <w:t xml:space="preserve"> workload of judges in those courts, given that </w:t>
      </w:r>
      <w:r w:rsidR="0051527F" w:rsidRPr="00600AFD">
        <w:rPr>
          <w:rFonts w:ascii="Times New Roman" w:eastAsia="Calibri" w:hAnsi="Times New Roman" w:cs="Times New Roman"/>
          <w:szCs w:val="24"/>
        </w:rPr>
        <w:t>the reports and programing documents of the Supreme Court of Cassation contain</w:t>
      </w:r>
      <w:r w:rsidR="008D37EC" w:rsidRPr="00600AFD">
        <w:rPr>
          <w:rFonts w:ascii="Times New Roman" w:eastAsia="Calibri" w:hAnsi="Times New Roman" w:cs="Times New Roman"/>
          <w:szCs w:val="24"/>
        </w:rPr>
        <w:t xml:space="preserve"> special measures pertaining to those courts. A similar analysis should also be conducted for the </w:t>
      </w:r>
      <w:r w:rsidR="0072519C" w:rsidRPr="00600AFD">
        <w:rPr>
          <w:rFonts w:ascii="Times New Roman" w:eastAsia="Calibri" w:hAnsi="Times New Roman" w:cs="Times New Roman"/>
          <w:szCs w:val="24"/>
        </w:rPr>
        <w:t xml:space="preserve">network of public prosecutors’ offices on the territory of the City of Belgrade. </w:t>
      </w:r>
    </w:p>
    <w:p w14:paraId="2C133E09" w14:textId="546C9BE1"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The adoption of the Law on Enforcement and Security has significantly affected the reduction of the number of cases related to debts concerning bills submitted by public utility companies, which made up a large portion of cases pending in the basic courts. Data for the first half of 2018 show that there is a trend of reducing the total number of backlog cases,</w:t>
      </w:r>
      <w:r w:rsidRPr="00600AFD">
        <w:rPr>
          <w:rFonts w:ascii="Times New Roman" w:eastAsia="Calibri" w:hAnsi="Times New Roman" w:cs="Times New Roman"/>
          <w:szCs w:val="24"/>
          <w:vertAlign w:val="superscript"/>
        </w:rPr>
        <w:footnoteReference w:id="33"/>
      </w:r>
      <w:r w:rsidRPr="00600AFD">
        <w:rPr>
          <w:rFonts w:ascii="Times New Roman" w:eastAsia="Calibri" w:hAnsi="Times New Roman" w:cs="Times New Roman"/>
          <w:szCs w:val="24"/>
        </w:rPr>
        <w:t xml:space="preserve"> i.e. cases older than two years, and it is necessary to continue to take measures </w:t>
      </w:r>
      <w:r w:rsidR="00E74EFF" w:rsidRPr="00600AFD">
        <w:rPr>
          <w:rFonts w:ascii="Times New Roman" w:eastAsia="Calibri" w:hAnsi="Times New Roman" w:cs="Times New Roman"/>
          <w:szCs w:val="24"/>
        </w:rPr>
        <w:t>in the same direction</w:t>
      </w:r>
      <w:r w:rsidRPr="00600AFD">
        <w:rPr>
          <w:rFonts w:ascii="Times New Roman" w:eastAsia="Calibri" w:hAnsi="Times New Roman" w:cs="Times New Roman"/>
          <w:szCs w:val="24"/>
        </w:rPr>
        <w:t>.</w:t>
      </w:r>
    </w:p>
    <w:p w14:paraId="793FAB78" w14:textId="511607FE"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Efficiency was significantly improved by encouraging the use of alternative dispute resolution mechanisms. Visible results were achieved through inter</w:t>
      </w:r>
      <w:r w:rsidR="000F3999">
        <w:rPr>
          <w:rFonts w:ascii="Times New Roman" w:eastAsia="Calibri" w:hAnsi="Times New Roman" w:cs="Times New Roman"/>
          <w:szCs w:val="24"/>
        </w:rPr>
        <w:t>–</w:t>
      </w:r>
      <w:r w:rsidRPr="00600AFD">
        <w:rPr>
          <w:rFonts w:ascii="Times New Roman" w:eastAsia="Calibri" w:hAnsi="Times New Roman" w:cs="Times New Roman"/>
          <w:szCs w:val="24"/>
        </w:rPr>
        <w:t xml:space="preserve">institutional cooperation </w:t>
      </w:r>
      <w:r w:rsidR="007712BB" w:rsidRPr="00600AFD">
        <w:rPr>
          <w:rFonts w:ascii="Times New Roman" w:eastAsia="Calibri" w:hAnsi="Times New Roman" w:cs="Times New Roman"/>
          <w:szCs w:val="24"/>
        </w:rPr>
        <w:t>among</w:t>
      </w:r>
      <w:r w:rsidRPr="00600AFD">
        <w:rPr>
          <w:rFonts w:ascii="Times New Roman" w:eastAsia="Calibri" w:hAnsi="Times New Roman" w:cs="Times New Roman"/>
          <w:szCs w:val="24"/>
        </w:rPr>
        <w:t xml:space="preserve"> multiple stakeholders, and Instructions were issued and signed in order to improve and promote mediation, settlement and other methods of alternative dispute resolution. However, there is still plenty of room for further improvement in this area. In this </w:t>
      </w:r>
      <w:r w:rsidR="00296268" w:rsidRPr="00600AFD">
        <w:rPr>
          <w:rFonts w:ascii="Times New Roman" w:eastAsia="Calibri" w:hAnsi="Times New Roman" w:cs="Times New Roman"/>
          <w:szCs w:val="24"/>
        </w:rPr>
        <w:t>respect</w:t>
      </w:r>
      <w:r w:rsidRPr="00600AFD">
        <w:rPr>
          <w:rFonts w:ascii="Times New Roman" w:eastAsia="Calibri" w:hAnsi="Times New Roman" w:cs="Times New Roman"/>
          <w:szCs w:val="24"/>
        </w:rPr>
        <w:t xml:space="preserve">, the necessary steps in the forthcoming period include further improvement of the legal framework and the establishment of a functional and </w:t>
      </w:r>
      <w:r w:rsidR="00296268" w:rsidRPr="00600AFD">
        <w:rPr>
          <w:rFonts w:ascii="Times New Roman" w:eastAsia="Calibri" w:hAnsi="Times New Roman" w:cs="Times New Roman"/>
          <w:szCs w:val="24"/>
        </w:rPr>
        <w:t>uniform</w:t>
      </w:r>
      <w:r w:rsidR="00241BF7"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system of mediation in all the courts.</w:t>
      </w:r>
    </w:p>
    <w:p w14:paraId="1AA21062" w14:textId="65A4E213" w:rsidR="0087783D" w:rsidRPr="00600AFD" w:rsidRDefault="0087783D" w:rsidP="00241BF7">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lastRenderedPageBreak/>
        <w:t xml:space="preserve">The legal framework has been improved, as well as the mechanisms for harmonization of </w:t>
      </w:r>
      <w:r w:rsidR="008F4382" w:rsidRPr="00600AFD">
        <w:rPr>
          <w:rFonts w:ascii="Times New Roman" w:eastAsia="Calibri" w:hAnsi="Times New Roman" w:cs="Times New Roman"/>
          <w:szCs w:val="24"/>
        </w:rPr>
        <w:t>case law</w:t>
      </w:r>
      <w:r w:rsidR="00C90A08" w:rsidRPr="00600AFD">
        <w:rPr>
          <w:rFonts w:ascii="Times New Roman" w:eastAsia="Calibri" w:hAnsi="Times New Roman" w:cs="Times New Roman"/>
          <w:szCs w:val="24"/>
        </w:rPr>
        <w:t xml:space="preserve"> and</w:t>
      </w:r>
      <w:r w:rsidRPr="00600AFD">
        <w:rPr>
          <w:rFonts w:ascii="Times New Roman" w:eastAsia="Calibri" w:hAnsi="Times New Roman" w:cs="Times New Roman"/>
          <w:szCs w:val="24"/>
        </w:rPr>
        <w:t xml:space="preserve"> activity plans of the Supreme Court of Cassation and the Republic Public Prosecutor’s Office concerning the harmonization of </w:t>
      </w:r>
      <w:r w:rsidR="008F4382" w:rsidRPr="00600AFD">
        <w:rPr>
          <w:rFonts w:ascii="Times New Roman" w:eastAsia="Calibri" w:hAnsi="Times New Roman" w:cs="Times New Roman"/>
          <w:szCs w:val="24"/>
        </w:rPr>
        <w:t>case law</w:t>
      </w:r>
      <w:r w:rsidR="004F7BE6" w:rsidRPr="00600AFD">
        <w:rPr>
          <w:rFonts w:ascii="Times New Roman" w:eastAsia="Calibri" w:hAnsi="Times New Roman" w:cs="Times New Roman"/>
          <w:szCs w:val="24"/>
        </w:rPr>
        <w:t>, i.e.</w:t>
      </w:r>
      <w:r w:rsidRPr="00600AFD">
        <w:rPr>
          <w:rFonts w:ascii="Times New Roman" w:eastAsia="Calibri" w:hAnsi="Times New Roman" w:cs="Times New Roman"/>
          <w:szCs w:val="24"/>
        </w:rPr>
        <w:t xml:space="preserve"> the practice of public </w:t>
      </w:r>
      <w:r w:rsidR="00B55554" w:rsidRPr="00600AFD">
        <w:rPr>
          <w:rFonts w:ascii="Times New Roman" w:eastAsia="Calibri" w:hAnsi="Times New Roman" w:cs="Times New Roman"/>
          <w:szCs w:val="24"/>
        </w:rPr>
        <w:t>prosecutors’ offices</w:t>
      </w:r>
      <w:r w:rsidR="004F7BE6" w:rsidRPr="00600AFD">
        <w:rPr>
          <w:rFonts w:ascii="Times New Roman" w:eastAsia="Calibri" w:hAnsi="Times New Roman" w:cs="Times New Roman"/>
          <w:szCs w:val="24"/>
        </w:rPr>
        <w:t>,</w:t>
      </w:r>
      <w:r w:rsidRPr="00600AFD">
        <w:rPr>
          <w:rFonts w:ascii="Times New Roman" w:eastAsia="Calibri" w:hAnsi="Times New Roman" w:cs="Times New Roman"/>
          <w:szCs w:val="24"/>
        </w:rPr>
        <w:t xml:space="preserve"> have been adopted, but additional work is still needed to improve and monitor their implementation. A database containing the </w:t>
      </w:r>
      <w:r w:rsidR="008F4382" w:rsidRPr="00600AFD">
        <w:rPr>
          <w:rFonts w:ascii="Times New Roman" w:eastAsia="Calibri" w:hAnsi="Times New Roman" w:cs="Times New Roman"/>
          <w:szCs w:val="24"/>
        </w:rPr>
        <w:t>case law</w:t>
      </w:r>
      <w:r w:rsidRPr="00600AFD">
        <w:rPr>
          <w:rFonts w:ascii="Times New Roman" w:eastAsia="Calibri" w:hAnsi="Times New Roman" w:cs="Times New Roman"/>
          <w:szCs w:val="24"/>
        </w:rPr>
        <w:t xml:space="preserve"> of Serbian courts, the European Court of Human Rights and the Court </w:t>
      </w:r>
      <w:r w:rsidR="00023CD5" w:rsidRPr="00600AFD">
        <w:rPr>
          <w:rFonts w:ascii="Times New Roman" w:eastAsia="Calibri" w:hAnsi="Times New Roman" w:cs="Times New Roman"/>
          <w:szCs w:val="24"/>
        </w:rPr>
        <w:t xml:space="preserve">of Justice of the European Union </w:t>
      </w:r>
      <w:r w:rsidRPr="00600AFD">
        <w:rPr>
          <w:rFonts w:ascii="Times New Roman" w:eastAsia="Calibri" w:hAnsi="Times New Roman" w:cs="Times New Roman"/>
          <w:szCs w:val="24"/>
        </w:rPr>
        <w:t xml:space="preserve">has been established and will need to be continuously updated. </w:t>
      </w:r>
      <w:r w:rsidR="007C2647" w:rsidRPr="00600AFD">
        <w:rPr>
          <w:rFonts w:ascii="Times New Roman" w:eastAsia="Calibri" w:hAnsi="Times New Roman" w:cs="Times New Roman"/>
          <w:szCs w:val="24"/>
        </w:rPr>
        <w:t xml:space="preserve">Given </w:t>
      </w:r>
      <w:r w:rsidRPr="00600AFD">
        <w:rPr>
          <w:rFonts w:ascii="Times New Roman" w:eastAsia="Calibri" w:hAnsi="Times New Roman" w:cs="Times New Roman"/>
          <w:szCs w:val="24"/>
        </w:rPr>
        <w:t xml:space="preserve">the importance of equal application of </w:t>
      </w:r>
      <w:r w:rsidR="00497E9F" w:rsidRPr="00600AFD">
        <w:rPr>
          <w:rFonts w:ascii="Times New Roman" w:eastAsia="Calibri" w:hAnsi="Times New Roman" w:cs="Times New Roman"/>
          <w:szCs w:val="24"/>
        </w:rPr>
        <w:t xml:space="preserve">law </w:t>
      </w:r>
      <w:r w:rsidRPr="00600AFD">
        <w:rPr>
          <w:rFonts w:ascii="Times New Roman" w:eastAsia="Calibri" w:hAnsi="Times New Roman" w:cs="Times New Roman"/>
          <w:szCs w:val="24"/>
        </w:rPr>
        <w:t>by all courts and judges</w:t>
      </w:r>
      <w:r w:rsidR="002C534D" w:rsidRPr="00600AFD">
        <w:rPr>
          <w:rFonts w:ascii="Times New Roman" w:eastAsia="Calibri" w:hAnsi="Times New Roman" w:cs="Times New Roman"/>
          <w:szCs w:val="24"/>
        </w:rPr>
        <w:t xml:space="preserve">, as well </w:t>
      </w:r>
      <w:r w:rsidR="004E3F93" w:rsidRPr="00600AFD">
        <w:rPr>
          <w:rFonts w:ascii="Times New Roman" w:eastAsia="Calibri" w:hAnsi="Times New Roman" w:cs="Times New Roman"/>
          <w:szCs w:val="24"/>
        </w:rPr>
        <w:t xml:space="preserve">as </w:t>
      </w:r>
      <w:r w:rsidRPr="00600AFD">
        <w:rPr>
          <w:rFonts w:ascii="Times New Roman" w:eastAsia="Calibri" w:hAnsi="Times New Roman" w:cs="Times New Roman"/>
          <w:szCs w:val="24"/>
        </w:rPr>
        <w:t>predictability of the outcome of disputes, it is necessary to continue undertak</w:t>
      </w:r>
      <w:r w:rsidR="00190438" w:rsidRPr="00600AFD">
        <w:rPr>
          <w:rFonts w:ascii="Times New Roman" w:eastAsia="Calibri" w:hAnsi="Times New Roman" w:cs="Times New Roman"/>
          <w:szCs w:val="24"/>
        </w:rPr>
        <w:t>ing</w:t>
      </w:r>
      <w:r w:rsidRPr="00600AFD">
        <w:rPr>
          <w:rFonts w:ascii="Times New Roman" w:eastAsia="Calibri" w:hAnsi="Times New Roman" w:cs="Times New Roman"/>
          <w:szCs w:val="24"/>
        </w:rPr>
        <w:t xml:space="preserve"> activities to harmonize the </w:t>
      </w:r>
      <w:r w:rsidR="008F4382" w:rsidRPr="00600AFD">
        <w:rPr>
          <w:rFonts w:ascii="Times New Roman" w:eastAsia="Calibri" w:hAnsi="Times New Roman" w:cs="Times New Roman"/>
          <w:szCs w:val="24"/>
        </w:rPr>
        <w:t>case law</w:t>
      </w:r>
      <w:r w:rsidRPr="00600AFD">
        <w:rPr>
          <w:rFonts w:ascii="Times New Roman" w:eastAsia="Calibri" w:hAnsi="Times New Roman" w:cs="Times New Roman"/>
          <w:szCs w:val="24"/>
        </w:rPr>
        <w:t xml:space="preserve">. Considering the importance of the Supreme Court of Cassation </w:t>
      </w:r>
      <w:r w:rsidR="009F01D7" w:rsidRPr="00600AFD">
        <w:rPr>
          <w:rFonts w:ascii="Times New Roman" w:eastAsia="Calibri" w:hAnsi="Times New Roman" w:cs="Times New Roman"/>
          <w:szCs w:val="24"/>
        </w:rPr>
        <w:t xml:space="preserve">for </w:t>
      </w:r>
      <w:r w:rsidR="00955771" w:rsidRPr="00600AFD">
        <w:rPr>
          <w:rFonts w:ascii="Times New Roman" w:eastAsia="Calibri" w:hAnsi="Times New Roman" w:cs="Times New Roman"/>
          <w:szCs w:val="24"/>
        </w:rPr>
        <w:t xml:space="preserve">case law </w:t>
      </w:r>
      <w:r w:rsidRPr="00600AFD">
        <w:rPr>
          <w:rFonts w:ascii="Times New Roman" w:eastAsia="Calibri" w:hAnsi="Times New Roman" w:cs="Times New Roman"/>
          <w:szCs w:val="24"/>
        </w:rPr>
        <w:t xml:space="preserve">harmonization, </w:t>
      </w:r>
      <w:r w:rsidR="00977A62" w:rsidRPr="00600AFD">
        <w:rPr>
          <w:rFonts w:ascii="Times New Roman" w:eastAsia="Calibri" w:hAnsi="Times New Roman" w:cs="Times New Roman"/>
          <w:szCs w:val="24"/>
        </w:rPr>
        <w:t xml:space="preserve">an </w:t>
      </w:r>
      <w:r w:rsidR="00956AA6" w:rsidRPr="00600AFD">
        <w:rPr>
          <w:rFonts w:ascii="Times New Roman" w:eastAsia="Calibri" w:hAnsi="Times New Roman" w:cs="Times New Roman"/>
          <w:szCs w:val="24"/>
        </w:rPr>
        <w:t xml:space="preserve">expansion of </w:t>
      </w:r>
      <w:r w:rsidRPr="00600AFD">
        <w:rPr>
          <w:rFonts w:ascii="Times New Roman" w:eastAsia="Calibri" w:hAnsi="Times New Roman" w:cs="Times New Roman"/>
          <w:szCs w:val="24"/>
        </w:rPr>
        <w:t>the Supreme Court of Cassation</w:t>
      </w:r>
      <w:r w:rsidR="004D560E" w:rsidRPr="00600AFD">
        <w:rPr>
          <w:rFonts w:ascii="Times New Roman" w:eastAsia="Calibri" w:hAnsi="Times New Roman" w:cs="Times New Roman"/>
          <w:szCs w:val="24"/>
        </w:rPr>
        <w:t xml:space="preserve">’s </w:t>
      </w:r>
      <w:r w:rsidR="00342F46" w:rsidRPr="00600AFD">
        <w:rPr>
          <w:rFonts w:ascii="Times New Roman" w:eastAsia="Calibri" w:hAnsi="Times New Roman" w:cs="Times New Roman"/>
          <w:szCs w:val="24"/>
        </w:rPr>
        <w:t>competencies with</w:t>
      </w:r>
      <w:r w:rsidR="00611435" w:rsidRPr="00600AFD">
        <w:rPr>
          <w:rFonts w:ascii="Times New Roman" w:eastAsia="Calibri" w:hAnsi="Times New Roman" w:cs="Times New Roman"/>
          <w:szCs w:val="24"/>
        </w:rPr>
        <w:t xml:space="preserve"> </w:t>
      </w:r>
      <w:r w:rsidR="00F248E5" w:rsidRPr="00600AFD">
        <w:rPr>
          <w:rFonts w:ascii="Times New Roman" w:eastAsia="Calibri" w:hAnsi="Times New Roman" w:cs="Times New Roman"/>
          <w:szCs w:val="24"/>
        </w:rPr>
        <w:t xml:space="preserve">regard to allowance of the provision of </w:t>
      </w:r>
      <w:r w:rsidR="009B2978" w:rsidRPr="00600AFD">
        <w:rPr>
          <w:rFonts w:ascii="Times New Roman" w:eastAsia="Calibri" w:hAnsi="Times New Roman" w:cs="Times New Roman"/>
          <w:szCs w:val="24"/>
        </w:rPr>
        <w:t xml:space="preserve">a </w:t>
      </w:r>
      <w:r w:rsidR="00893D73" w:rsidRPr="00600AFD">
        <w:rPr>
          <w:rFonts w:ascii="Times New Roman" w:eastAsia="Calibri" w:hAnsi="Times New Roman" w:cs="Times New Roman"/>
          <w:szCs w:val="24"/>
        </w:rPr>
        <w:t xml:space="preserve">motion </w:t>
      </w:r>
      <w:r w:rsidR="00F160D4" w:rsidRPr="00600AFD">
        <w:rPr>
          <w:rFonts w:ascii="Times New Roman" w:eastAsia="Calibri" w:hAnsi="Times New Roman" w:cs="Times New Roman"/>
          <w:szCs w:val="24"/>
        </w:rPr>
        <w:t xml:space="preserve">to file </w:t>
      </w:r>
      <w:r w:rsidRPr="00600AFD">
        <w:rPr>
          <w:rFonts w:ascii="Times New Roman" w:eastAsia="Calibri" w:hAnsi="Times New Roman" w:cs="Times New Roman"/>
          <w:szCs w:val="24"/>
        </w:rPr>
        <w:t xml:space="preserve">regular </w:t>
      </w:r>
      <w:r w:rsidR="00893D73" w:rsidRPr="00600AFD">
        <w:rPr>
          <w:rFonts w:ascii="Times New Roman" w:eastAsia="Calibri" w:hAnsi="Times New Roman" w:cs="Times New Roman"/>
          <w:szCs w:val="24"/>
        </w:rPr>
        <w:t xml:space="preserve">legal </w:t>
      </w:r>
      <w:r w:rsidRPr="00600AFD">
        <w:rPr>
          <w:rFonts w:ascii="Times New Roman" w:eastAsia="Calibri" w:hAnsi="Times New Roman" w:cs="Times New Roman"/>
          <w:szCs w:val="24"/>
        </w:rPr>
        <w:t xml:space="preserve">remedies in </w:t>
      </w:r>
      <w:r w:rsidR="00A277B2" w:rsidRPr="00600AFD">
        <w:rPr>
          <w:rFonts w:ascii="Times New Roman" w:eastAsia="Calibri" w:hAnsi="Times New Roman" w:cs="Times New Roman"/>
          <w:szCs w:val="24"/>
        </w:rPr>
        <w:t xml:space="preserve">cases pertaining to </w:t>
      </w:r>
      <w:r w:rsidR="00956AA6" w:rsidRPr="00600AFD">
        <w:rPr>
          <w:rFonts w:ascii="Times New Roman" w:eastAsia="Calibri" w:hAnsi="Times New Roman" w:cs="Times New Roman"/>
          <w:szCs w:val="24"/>
        </w:rPr>
        <w:t xml:space="preserve">the </w:t>
      </w:r>
      <w:r w:rsidRPr="00600AFD">
        <w:rPr>
          <w:rFonts w:ascii="Times New Roman" w:eastAsia="Calibri" w:hAnsi="Times New Roman" w:cs="Times New Roman"/>
          <w:szCs w:val="24"/>
        </w:rPr>
        <w:t xml:space="preserve">most serious </w:t>
      </w:r>
      <w:r w:rsidR="00342F46" w:rsidRPr="00600AFD">
        <w:rPr>
          <w:rFonts w:ascii="Times New Roman" w:eastAsia="Calibri" w:hAnsi="Times New Roman" w:cs="Times New Roman"/>
          <w:szCs w:val="24"/>
        </w:rPr>
        <w:t>criminal</w:t>
      </w:r>
      <w:r w:rsidR="00956AA6" w:rsidRPr="00600AFD">
        <w:rPr>
          <w:rFonts w:ascii="Times New Roman" w:eastAsia="Calibri" w:hAnsi="Times New Roman" w:cs="Times New Roman"/>
          <w:szCs w:val="24"/>
        </w:rPr>
        <w:t xml:space="preserve"> offences </w:t>
      </w:r>
      <w:r w:rsidRPr="00600AFD">
        <w:rPr>
          <w:rFonts w:ascii="Times New Roman" w:eastAsia="Calibri" w:hAnsi="Times New Roman" w:cs="Times New Roman"/>
          <w:szCs w:val="24"/>
        </w:rPr>
        <w:t>should also be considered in the process of constitutional change.</w:t>
      </w:r>
    </w:p>
    <w:p w14:paraId="565B47C2" w14:textId="6E026AE3"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At the same time, </w:t>
      </w:r>
      <w:r w:rsidR="00241BF7" w:rsidRPr="00600AFD">
        <w:rPr>
          <w:rFonts w:ascii="Times New Roman" w:eastAsia="Calibri" w:hAnsi="Times New Roman" w:cs="Times New Roman"/>
          <w:szCs w:val="24"/>
        </w:rPr>
        <w:t>in order to</w:t>
      </w:r>
      <w:r w:rsidRPr="00600AFD">
        <w:rPr>
          <w:rFonts w:ascii="Times New Roman" w:eastAsia="Calibri" w:hAnsi="Times New Roman" w:cs="Times New Roman"/>
          <w:szCs w:val="24"/>
        </w:rPr>
        <w:t xml:space="preserve"> increase </w:t>
      </w:r>
      <w:r w:rsidR="00B56E0F" w:rsidRPr="00600AFD">
        <w:rPr>
          <w:rFonts w:ascii="Times New Roman" w:eastAsia="Calibri" w:hAnsi="Times New Roman" w:cs="Times New Roman"/>
          <w:szCs w:val="24"/>
        </w:rPr>
        <w:t>efficiency,</w:t>
      </w:r>
      <w:r w:rsidRPr="00600AFD">
        <w:rPr>
          <w:rFonts w:ascii="Times New Roman" w:eastAsia="Calibri" w:hAnsi="Times New Roman" w:cs="Times New Roman"/>
          <w:szCs w:val="24"/>
        </w:rPr>
        <w:t xml:space="preserve"> it is necessary to start </w:t>
      </w:r>
      <w:r w:rsidR="0086432A" w:rsidRPr="00600AFD">
        <w:rPr>
          <w:rFonts w:ascii="Times New Roman" w:eastAsia="Calibri" w:hAnsi="Times New Roman" w:cs="Times New Roman"/>
          <w:szCs w:val="24"/>
        </w:rPr>
        <w:t>under</w:t>
      </w:r>
      <w:r w:rsidRPr="00600AFD">
        <w:rPr>
          <w:rFonts w:ascii="Times New Roman" w:eastAsia="Calibri" w:hAnsi="Times New Roman" w:cs="Times New Roman"/>
          <w:szCs w:val="24"/>
        </w:rPr>
        <w:t xml:space="preserve">taking measures to harmonize the practice of public </w:t>
      </w:r>
      <w:r w:rsidR="00B55554" w:rsidRPr="00600AFD">
        <w:rPr>
          <w:rFonts w:ascii="Times New Roman" w:eastAsia="Calibri" w:hAnsi="Times New Roman" w:cs="Times New Roman"/>
          <w:szCs w:val="24"/>
        </w:rPr>
        <w:t>prosecutors’ offices</w:t>
      </w:r>
      <w:r w:rsidRPr="00600AFD">
        <w:rPr>
          <w:rFonts w:ascii="Times New Roman" w:eastAsia="Calibri" w:hAnsi="Times New Roman" w:cs="Times New Roman"/>
          <w:szCs w:val="24"/>
        </w:rPr>
        <w:t xml:space="preserve">, which undoubtedly also influences the harmonization of </w:t>
      </w:r>
      <w:r w:rsidR="00DB1938" w:rsidRPr="00600AFD">
        <w:rPr>
          <w:rFonts w:ascii="Times New Roman" w:eastAsia="Calibri" w:hAnsi="Times New Roman" w:cs="Times New Roman"/>
          <w:szCs w:val="24"/>
        </w:rPr>
        <w:t xml:space="preserve">court </w:t>
      </w:r>
      <w:r w:rsidR="004F7BE6" w:rsidRPr="00600AFD">
        <w:rPr>
          <w:rFonts w:ascii="Times New Roman" w:eastAsia="Calibri" w:hAnsi="Times New Roman" w:cs="Times New Roman"/>
          <w:szCs w:val="24"/>
        </w:rPr>
        <w:t>practice</w:t>
      </w:r>
      <w:r w:rsidR="00DB1938" w:rsidRPr="00600AFD">
        <w:rPr>
          <w:rFonts w:ascii="Times New Roman" w:eastAsia="Calibri" w:hAnsi="Times New Roman" w:cs="Times New Roman"/>
          <w:szCs w:val="24"/>
        </w:rPr>
        <w:t>/case law</w:t>
      </w:r>
      <w:r w:rsidRPr="00600AFD">
        <w:rPr>
          <w:rFonts w:ascii="Times New Roman" w:eastAsia="Calibri" w:hAnsi="Times New Roman" w:cs="Times New Roman"/>
          <w:szCs w:val="24"/>
        </w:rPr>
        <w:t xml:space="preserve">, especially </w:t>
      </w:r>
      <w:r w:rsidR="00C458CF" w:rsidRPr="00600AFD">
        <w:rPr>
          <w:rFonts w:ascii="Times New Roman" w:eastAsia="Calibri" w:hAnsi="Times New Roman" w:cs="Times New Roman"/>
          <w:szCs w:val="24"/>
        </w:rPr>
        <w:t xml:space="preserve">with respect to </w:t>
      </w:r>
      <w:r w:rsidRPr="00600AFD">
        <w:rPr>
          <w:rFonts w:ascii="Times New Roman" w:eastAsia="Calibri" w:hAnsi="Times New Roman" w:cs="Times New Roman"/>
          <w:szCs w:val="24"/>
        </w:rPr>
        <w:t>the application of the institut</w:t>
      </w:r>
      <w:r w:rsidR="00F248E5" w:rsidRPr="00600AFD">
        <w:rPr>
          <w:rFonts w:ascii="Times New Roman" w:eastAsia="Calibri" w:hAnsi="Times New Roman" w:cs="Times New Roman"/>
          <w:szCs w:val="24"/>
        </w:rPr>
        <w:t>ions</w:t>
      </w:r>
      <w:r w:rsidRPr="00600AFD">
        <w:rPr>
          <w:rFonts w:ascii="Times New Roman" w:eastAsia="Calibri" w:hAnsi="Times New Roman" w:cs="Times New Roman"/>
          <w:szCs w:val="24"/>
        </w:rPr>
        <w:t xml:space="preserve"> of </w:t>
      </w:r>
      <w:r w:rsidR="002B38EF" w:rsidRPr="00600AFD">
        <w:rPr>
          <w:rFonts w:ascii="Times New Roman" w:eastAsia="Calibri" w:hAnsi="Times New Roman" w:cs="Times New Roman"/>
          <w:szCs w:val="24"/>
        </w:rPr>
        <w:t>probation</w:t>
      </w:r>
      <w:r w:rsidRPr="00600AFD">
        <w:rPr>
          <w:rFonts w:ascii="Times New Roman" w:eastAsia="Calibri" w:hAnsi="Times New Roman" w:cs="Times New Roman"/>
          <w:szCs w:val="24"/>
        </w:rPr>
        <w:t xml:space="preserve"> and plea bargaining. It is also necessary to establish a database of practices of the public prosecutor</w:t>
      </w:r>
      <w:r w:rsidR="00D931AD" w:rsidRPr="00600AFD">
        <w:rPr>
          <w:rFonts w:ascii="Times New Roman" w:eastAsia="Calibri" w:hAnsi="Times New Roman" w:cs="Times New Roman"/>
          <w:szCs w:val="24"/>
        </w:rPr>
        <w:t>s</w:t>
      </w:r>
      <w:r w:rsidRPr="00600AFD">
        <w:rPr>
          <w:rFonts w:ascii="Times New Roman" w:eastAsia="Calibri" w:hAnsi="Times New Roman" w:cs="Times New Roman"/>
          <w:szCs w:val="24"/>
        </w:rPr>
        <w:t>’ office</w:t>
      </w:r>
      <w:r w:rsidR="00D931AD" w:rsidRPr="00600AFD">
        <w:rPr>
          <w:rFonts w:ascii="Times New Roman" w:eastAsia="Calibri" w:hAnsi="Times New Roman" w:cs="Times New Roman"/>
          <w:szCs w:val="24"/>
        </w:rPr>
        <w:t>s</w:t>
      </w:r>
      <w:r w:rsidRPr="00600AFD">
        <w:rPr>
          <w:rFonts w:ascii="Times New Roman" w:eastAsia="Calibri" w:hAnsi="Times New Roman" w:cs="Times New Roman"/>
          <w:szCs w:val="24"/>
        </w:rPr>
        <w:t>.</w:t>
      </w:r>
    </w:p>
    <w:p w14:paraId="06DCB43F" w14:textId="7FA93B4C"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Another way of increasin</w:t>
      </w:r>
      <w:r w:rsidR="004F7BE6" w:rsidRPr="00600AFD">
        <w:rPr>
          <w:rFonts w:ascii="Times New Roman" w:eastAsia="Calibri" w:hAnsi="Times New Roman" w:cs="Times New Roman"/>
          <w:szCs w:val="24"/>
        </w:rPr>
        <w:t>g the efficiency in exercising courts</w:t>
      </w:r>
      <w:r w:rsidRPr="00600AFD">
        <w:rPr>
          <w:rFonts w:ascii="Times New Roman" w:eastAsia="Calibri" w:hAnsi="Times New Roman" w:cs="Times New Roman"/>
          <w:szCs w:val="24"/>
        </w:rPr>
        <w:t xml:space="preserve"> competences </w:t>
      </w:r>
      <w:r w:rsidR="00525B89" w:rsidRPr="00600AFD">
        <w:rPr>
          <w:rFonts w:ascii="Times New Roman" w:eastAsia="Calibri" w:hAnsi="Times New Roman" w:cs="Times New Roman"/>
          <w:szCs w:val="24"/>
        </w:rPr>
        <w:t>was</w:t>
      </w:r>
      <w:r w:rsidRPr="00600AFD">
        <w:rPr>
          <w:rFonts w:ascii="Times New Roman" w:eastAsia="Calibri" w:hAnsi="Times New Roman" w:cs="Times New Roman"/>
          <w:szCs w:val="24"/>
        </w:rPr>
        <w:t xml:space="preserve"> </w:t>
      </w:r>
      <w:r w:rsidR="002D4BB9" w:rsidRPr="00600AFD">
        <w:rPr>
          <w:rFonts w:ascii="Times New Roman" w:eastAsia="Calibri" w:hAnsi="Times New Roman" w:cs="Times New Roman"/>
          <w:szCs w:val="24"/>
        </w:rPr>
        <w:t xml:space="preserve">a </w:t>
      </w:r>
      <w:r w:rsidRPr="00600AFD">
        <w:rPr>
          <w:rFonts w:ascii="Times New Roman" w:eastAsia="Calibri" w:hAnsi="Times New Roman" w:cs="Times New Roman"/>
          <w:szCs w:val="24"/>
        </w:rPr>
        <w:t>transfer of</w:t>
      </w:r>
      <w:r w:rsidR="00525B89" w:rsidRPr="00600AFD">
        <w:rPr>
          <w:rFonts w:ascii="Times New Roman" w:eastAsia="Calibri" w:hAnsi="Times New Roman" w:cs="Times New Roman"/>
          <w:szCs w:val="24"/>
        </w:rPr>
        <w:t xml:space="preserve"> the</w:t>
      </w:r>
      <w:r w:rsidRPr="00600AFD">
        <w:rPr>
          <w:rFonts w:ascii="Times New Roman" w:eastAsia="Calibri" w:hAnsi="Times New Roman" w:cs="Times New Roman"/>
          <w:szCs w:val="24"/>
        </w:rPr>
        <w:t xml:space="preserve"> “trial </w:t>
      </w:r>
      <w:r w:rsidR="009B50F3" w:rsidRPr="00600AFD">
        <w:rPr>
          <w:rFonts w:ascii="Times New Roman" w:eastAsia="Calibri" w:hAnsi="Times New Roman" w:cs="Times New Roman"/>
          <w:szCs w:val="24"/>
        </w:rPr>
        <w:t>matter</w:t>
      </w:r>
      <w:r w:rsidRPr="00600AFD">
        <w:rPr>
          <w:rFonts w:ascii="Times New Roman" w:eastAsia="Calibri" w:hAnsi="Times New Roman" w:cs="Times New Roman"/>
          <w:szCs w:val="24"/>
        </w:rPr>
        <w:t xml:space="preserve">” from courts to </w:t>
      </w:r>
      <w:r w:rsidR="00241BF7" w:rsidRPr="00600AFD">
        <w:rPr>
          <w:rFonts w:ascii="Times New Roman" w:eastAsia="Calibri" w:hAnsi="Times New Roman" w:cs="Times New Roman"/>
          <w:szCs w:val="24"/>
        </w:rPr>
        <w:t>public</w:t>
      </w:r>
      <w:r w:rsidR="00FF0A59" w:rsidRPr="00600AFD">
        <w:rPr>
          <w:rFonts w:ascii="Times New Roman" w:eastAsia="Calibri" w:hAnsi="Times New Roman" w:cs="Times New Roman"/>
          <w:szCs w:val="24"/>
        </w:rPr>
        <w:t xml:space="preserve"> </w:t>
      </w:r>
      <w:r w:rsidR="00D82920" w:rsidRPr="00600AFD">
        <w:rPr>
          <w:rFonts w:ascii="Times New Roman" w:eastAsia="Calibri" w:hAnsi="Times New Roman" w:cs="Times New Roman"/>
          <w:szCs w:val="24"/>
        </w:rPr>
        <w:t xml:space="preserve">notaries </w:t>
      </w:r>
      <w:r w:rsidR="00FF0A59" w:rsidRPr="00600AFD">
        <w:rPr>
          <w:rFonts w:ascii="Times New Roman" w:eastAsia="Calibri" w:hAnsi="Times New Roman" w:cs="Times New Roman"/>
          <w:szCs w:val="24"/>
        </w:rPr>
        <w:t xml:space="preserve">and </w:t>
      </w:r>
      <w:r w:rsidR="00654C03" w:rsidRPr="00600AFD">
        <w:rPr>
          <w:rFonts w:ascii="Times New Roman" w:eastAsia="Calibri" w:hAnsi="Times New Roman" w:cs="Times New Roman"/>
          <w:szCs w:val="24"/>
        </w:rPr>
        <w:t>public enforcement officers</w:t>
      </w:r>
      <w:r w:rsidR="004F7BE6" w:rsidRPr="00600AFD">
        <w:rPr>
          <w:rFonts w:ascii="Times New Roman" w:eastAsia="Calibri" w:hAnsi="Times New Roman" w:cs="Times New Roman"/>
          <w:szCs w:val="24"/>
        </w:rPr>
        <w:t>,</w:t>
      </w:r>
      <w:r w:rsidRPr="00600AFD">
        <w:rPr>
          <w:rFonts w:ascii="Times New Roman" w:eastAsia="Calibri" w:hAnsi="Times New Roman" w:cs="Times New Roman"/>
          <w:szCs w:val="24"/>
        </w:rPr>
        <w:t xml:space="preserve"> </w:t>
      </w:r>
      <w:r w:rsidR="00FF0A59" w:rsidRPr="00600AFD">
        <w:rPr>
          <w:rFonts w:ascii="Times New Roman" w:eastAsia="Calibri" w:hAnsi="Times New Roman" w:cs="Times New Roman"/>
          <w:szCs w:val="24"/>
        </w:rPr>
        <w:t xml:space="preserve">as </w:t>
      </w:r>
      <w:r w:rsidRPr="00600AFD">
        <w:rPr>
          <w:rFonts w:ascii="Times New Roman" w:eastAsia="Calibri" w:hAnsi="Times New Roman" w:cs="Times New Roman"/>
          <w:szCs w:val="24"/>
        </w:rPr>
        <w:t>new judicial professions, which is something that will require additional work in the upcoming period.</w:t>
      </w:r>
    </w:p>
    <w:p w14:paraId="5BFB9566" w14:textId="77777777" w:rsidR="0087783D" w:rsidRPr="00600AFD" w:rsidRDefault="003627FE" w:rsidP="0087783D">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Particular </w:t>
      </w:r>
      <w:r w:rsidR="0087783D" w:rsidRPr="00600AFD">
        <w:rPr>
          <w:rFonts w:ascii="Times New Roman" w:eastAsia="Calibri" w:hAnsi="Times New Roman" w:cs="Times New Roman"/>
          <w:szCs w:val="24"/>
        </w:rPr>
        <w:t xml:space="preserve">attention should be </w:t>
      </w:r>
      <w:r w:rsidR="00241BF7" w:rsidRPr="00600AFD">
        <w:rPr>
          <w:rFonts w:ascii="Times New Roman" w:eastAsia="Calibri" w:hAnsi="Times New Roman" w:cs="Times New Roman"/>
          <w:szCs w:val="24"/>
        </w:rPr>
        <w:t>focused on</w:t>
      </w:r>
      <w:r w:rsidR="0087783D" w:rsidRPr="00600AFD">
        <w:rPr>
          <w:rFonts w:ascii="Times New Roman" w:eastAsia="Calibri" w:hAnsi="Times New Roman" w:cs="Times New Roman"/>
          <w:szCs w:val="24"/>
        </w:rPr>
        <w:t xml:space="preserve"> improving the </w:t>
      </w:r>
      <w:r w:rsidR="00241BF7" w:rsidRPr="00600AFD">
        <w:rPr>
          <w:rFonts w:ascii="Times New Roman" w:eastAsia="Calibri" w:hAnsi="Times New Roman" w:cs="Times New Roman"/>
          <w:szCs w:val="24"/>
        </w:rPr>
        <w:t xml:space="preserve">work </w:t>
      </w:r>
      <w:r w:rsidR="0087783D" w:rsidRPr="00600AFD">
        <w:rPr>
          <w:rFonts w:ascii="Times New Roman" w:eastAsia="Calibri" w:hAnsi="Times New Roman" w:cs="Times New Roman"/>
          <w:szCs w:val="24"/>
        </w:rPr>
        <w:t xml:space="preserve">of the Administrative Court. Statistical reports indicate that the Administrative Court is </w:t>
      </w:r>
      <w:r w:rsidR="00EB26D7" w:rsidRPr="00600AFD">
        <w:rPr>
          <w:rFonts w:ascii="Times New Roman" w:eastAsia="Calibri" w:hAnsi="Times New Roman" w:cs="Times New Roman"/>
          <w:szCs w:val="24"/>
        </w:rPr>
        <w:t xml:space="preserve">weighed down by </w:t>
      </w:r>
      <w:r w:rsidR="00A01115" w:rsidRPr="00600AFD">
        <w:rPr>
          <w:rFonts w:ascii="Times New Roman" w:eastAsia="Calibri" w:hAnsi="Times New Roman" w:cs="Times New Roman"/>
          <w:szCs w:val="24"/>
        </w:rPr>
        <w:t xml:space="preserve">the greatest workload among all courts in </w:t>
      </w:r>
      <w:r w:rsidR="0087783D" w:rsidRPr="00600AFD">
        <w:rPr>
          <w:rFonts w:ascii="Times New Roman" w:eastAsia="Calibri" w:hAnsi="Times New Roman" w:cs="Times New Roman"/>
          <w:szCs w:val="24"/>
        </w:rPr>
        <w:t>the Republic of Serbia,</w:t>
      </w:r>
      <w:r w:rsidR="0087783D" w:rsidRPr="00600AFD">
        <w:rPr>
          <w:rFonts w:ascii="Times New Roman" w:eastAsia="Calibri" w:hAnsi="Times New Roman" w:cs="Times New Roman"/>
          <w:szCs w:val="24"/>
          <w:vertAlign w:val="superscript"/>
        </w:rPr>
        <w:footnoteReference w:id="34"/>
      </w:r>
      <w:r w:rsidR="0087783D" w:rsidRPr="00600AFD">
        <w:rPr>
          <w:rFonts w:ascii="Times New Roman" w:eastAsia="Calibri" w:hAnsi="Times New Roman" w:cs="Times New Roman"/>
          <w:szCs w:val="24"/>
          <w:vertAlign w:val="superscript"/>
        </w:rPr>
        <w:t xml:space="preserve"> </w:t>
      </w:r>
      <w:r w:rsidR="0087783D" w:rsidRPr="00600AFD">
        <w:rPr>
          <w:rFonts w:ascii="Times New Roman" w:eastAsia="Calibri" w:hAnsi="Times New Roman" w:cs="Times New Roman"/>
          <w:szCs w:val="24"/>
        </w:rPr>
        <w:t xml:space="preserve">and that the number of cases pending before it is constantly increasing due to the continuous expansion of its jurisdiction. To enable </w:t>
      </w:r>
      <w:r w:rsidR="0074134F" w:rsidRPr="00600AFD">
        <w:rPr>
          <w:rFonts w:ascii="Times New Roman" w:eastAsia="Calibri" w:hAnsi="Times New Roman" w:cs="Times New Roman"/>
          <w:szCs w:val="24"/>
        </w:rPr>
        <w:t xml:space="preserve">the </w:t>
      </w:r>
      <w:r w:rsidR="0087783D" w:rsidRPr="00600AFD">
        <w:rPr>
          <w:rFonts w:ascii="Times New Roman" w:eastAsia="Calibri" w:hAnsi="Times New Roman" w:cs="Times New Roman"/>
          <w:szCs w:val="24"/>
        </w:rPr>
        <w:t xml:space="preserve">citizens to exercise </w:t>
      </w:r>
      <w:r w:rsidR="005B4F35" w:rsidRPr="00600AFD">
        <w:rPr>
          <w:rFonts w:ascii="Times New Roman" w:eastAsia="Calibri" w:hAnsi="Times New Roman" w:cs="Times New Roman"/>
          <w:szCs w:val="24"/>
        </w:rPr>
        <w:t xml:space="preserve">more efficiently </w:t>
      </w:r>
      <w:r w:rsidR="0087783D" w:rsidRPr="00600AFD">
        <w:rPr>
          <w:rFonts w:ascii="Times New Roman" w:eastAsia="Calibri" w:hAnsi="Times New Roman" w:cs="Times New Roman"/>
          <w:szCs w:val="24"/>
        </w:rPr>
        <w:t>their rights before the administrative bodies, it is necessary to conduct analyses and take appropriate measures in terms of status, jurisdiction, organization and capacity of the administrative judiciary and the manner of regulating administrative disputes.</w:t>
      </w:r>
    </w:p>
    <w:p w14:paraId="5D9F52F4" w14:textId="1AEAF881" w:rsidR="00A2146C" w:rsidRPr="00600AFD" w:rsidRDefault="009A0ED6" w:rsidP="00A2146C">
      <w:pPr>
        <w:spacing w:line="276" w:lineRule="auto"/>
        <w:rPr>
          <w:rFonts w:ascii="Times New Roman" w:hAnsi="Times New Roman" w:cs="Times New Roman"/>
          <w:szCs w:val="24"/>
        </w:rPr>
      </w:pPr>
      <w:r w:rsidRPr="00600AFD">
        <w:rPr>
          <w:rFonts w:ascii="Times New Roman" w:hAnsi="Times New Roman" w:cs="Times New Roman"/>
          <w:szCs w:val="24"/>
        </w:rPr>
        <w:t xml:space="preserve">Bearing in mind </w:t>
      </w:r>
      <w:r w:rsidR="00FB0194" w:rsidRPr="00600AFD">
        <w:rPr>
          <w:rFonts w:ascii="Times New Roman" w:hAnsi="Times New Roman" w:cs="Times New Roman"/>
          <w:szCs w:val="24"/>
        </w:rPr>
        <w:t xml:space="preserve">the </w:t>
      </w:r>
      <w:r w:rsidRPr="00600AFD">
        <w:rPr>
          <w:rFonts w:ascii="Times New Roman" w:hAnsi="Times New Roman" w:cs="Times New Roman"/>
          <w:szCs w:val="24"/>
        </w:rPr>
        <w:t xml:space="preserve">excessive </w:t>
      </w:r>
      <w:r w:rsidR="008427D3" w:rsidRPr="00600AFD">
        <w:rPr>
          <w:rFonts w:ascii="Times New Roman" w:hAnsi="Times New Roman" w:cs="Times New Roman"/>
          <w:szCs w:val="24"/>
        </w:rPr>
        <w:t xml:space="preserve">workload of courts in Belgrade, it is </w:t>
      </w:r>
      <w:r w:rsidR="00482995" w:rsidRPr="00600AFD">
        <w:rPr>
          <w:rFonts w:ascii="Times New Roman" w:hAnsi="Times New Roman" w:cs="Times New Roman"/>
          <w:szCs w:val="24"/>
        </w:rPr>
        <w:t>necessary</w:t>
      </w:r>
      <w:r w:rsidR="008427D3" w:rsidRPr="00600AFD">
        <w:rPr>
          <w:rFonts w:ascii="Times New Roman" w:hAnsi="Times New Roman" w:cs="Times New Roman"/>
          <w:szCs w:val="24"/>
        </w:rPr>
        <w:t xml:space="preserve"> to take special measures </w:t>
      </w:r>
      <w:r w:rsidR="00EB523C" w:rsidRPr="00600AFD">
        <w:rPr>
          <w:rFonts w:ascii="Times New Roman" w:hAnsi="Times New Roman" w:cs="Times New Roman"/>
          <w:szCs w:val="24"/>
        </w:rPr>
        <w:t>pertain</w:t>
      </w:r>
      <w:r w:rsidR="003B2E0E" w:rsidRPr="00600AFD">
        <w:rPr>
          <w:rFonts w:ascii="Times New Roman" w:hAnsi="Times New Roman" w:cs="Times New Roman"/>
          <w:szCs w:val="24"/>
        </w:rPr>
        <w:t>ing</w:t>
      </w:r>
      <w:r w:rsidR="00EB523C" w:rsidRPr="00600AFD">
        <w:rPr>
          <w:rFonts w:ascii="Times New Roman" w:hAnsi="Times New Roman" w:cs="Times New Roman"/>
          <w:szCs w:val="24"/>
        </w:rPr>
        <w:t xml:space="preserve"> to these </w:t>
      </w:r>
      <w:r w:rsidR="00FB0194" w:rsidRPr="00600AFD">
        <w:rPr>
          <w:rFonts w:ascii="Times New Roman" w:hAnsi="Times New Roman" w:cs="Times New Roman"/>
          <w:szCs w:val="24"/>
        </w:rPr>
        <w:t xml:space="preserve">specific </w:t>
      </w:r>
      <w:r w:rsidR="00EB523C" w:rsidRPr="00600AFD">
        <w:rPr>
          <w:rFonts w:ascii="Times New Roman" w:hAnsi="Times New Roman" w:cs="Times New Roman"/>
          <w:szCs w:val="24"/>
        </w:rPr>
        <w:t xml:space="preserve">courts. This is corroborated </w:t>
      </w:r>
      <w:r w:rsidR="00E63F21" w:rsidRPr="00600AFD">
        <w:rPr>
          <w:rFonts w:ascii="Times New Roman" w:hAnsi="Times New Roman" w:cs="Times New Roman"/>
          <w:szCs w:val="24"/>
        </w:rPr>
        <w:t xml:space="preserve">by the data on </w:t>
      </w:r>
      <w:r w:rsidR="00D241CF" w:rsidRPr="00600AFD">
        <w:rPr>
          <w:rFonts w:ascii="Times New Roman" w:hAnsi="Times New Roman" w:cs="Times New Roman"/>
          <w:szCs w:val="24"/>
        </w:rPr>
        <w:t xml:space="preserve">the caseload of </w:t>
      </w:r>
      <w:r w:rsidR="00E63F21" w:rsidRPr="00600AFD">
        <w:rPr>
          <w:rFonts w:ascii="Times New Roman" w:hAnsi="Times New Roman" w:cs="Times New Roman"/>
          <w:szCs w:val="24"/>
        </w:rPr>
        <w:t>the Belgrade Higher Court</w:t>
      </w:r>
      <w:r w:rsidR="00D241CF" w:rsidRPr="00600AFD">
        <w:rPr>
          <w:rFonts w:ascii="Times New Roman" w:hAnsi="Times New Roman" w:cs="Times New Roman"/>
          <w:szCs w:val="24"/>
        </w:rPr>
        <w:t xml:space="preserve">, which is the biggest court of this </w:t>
      </w:r>
      <w:r w:rsidR="008C2297" w:rsidRPr="00600AFD">
        <w:rPr>
          <w:rFonts w:ascii="Times New Roman" w:hAnsi="Times New Roman" w:cs="Times New Roman"/>
          <w:szCs w:val="24"/>
        </w:rPr>
        <w:t xml:space="preserve">rank in the Republic of Serbia. The Higher Court in Belgrade </w:t>
      </w:r>
      <w:r w:rsidR="007C785B" w:rsidRPr="00600AFD">
        <w:rPr>
          <w:rFonts w:ascii="Times New Roman" w:hAnsi="Times New Roman" w:cs="Times New Roman"/>
          <w:szCs w:val="24"/>
        </w:rPr>
        <w:t>has</w:t>
      </w:r>
      <w:r w:rsidR="00632306" w:rsidRPr="00600AFD">
        <w:rPr>
          <w:rFonts w:ascii="Times New Roman" w:hAnsi="Times New Roman" w:cs="Times New Roman"/>
          <w:szCs w:val="24"/>
        </w:rPr>
        <w:t xml:space="preserve"> 11 </w:t>
      </w:r>
      <w:r w:rsidR="00ED0F09" w:rsidRPr="00600AFD">
        <w:rPr>
          <w:rFonts w:ascii="Times New Roman" w:hAnsi="Times New Roman" w:cs="Times New Roman"/>
          <w:szCs w:val="24"/>
        </w:rPr>
        <w:t xml:space="preserve">departments </w:t>
      </w:r>
      <w:r w:rsidR="00784A12" w:rsidRPr="00600AFD">
        <w:rPr>
          <w:rFonts w:ascii="Times New Roman" w:hAnsi="Times New Roman" w:cs="Times New Roman"/>
          <w:szCs w:val="24"/>
        </w:rPr>
        <w:t xml:space="preserve">out of which civil and criminal </w:t>
      </w:r>
      <w:r w:rsidR="005F4C82" w:rsidRPr="00600AFD">
        <w:rPr>
          <w:rFonts w:ascii="Times New Roman" w:hAnsi="Times New Roman" w:cs="Times New Roman"/>
          <w:szCs w:val="24"/>
        </w:rPr>
        <w:t>departments</w:t>
      </w:r>
      <w:r w:rsidR="000766A6" w:rsidRPr="00600AFD">
        <w:rPr>
          <w:rFonts w:ascii="Times New Roman" w:hAnsi="Times New Roman" w:cs="Times New Roman"/>
          <w:szCs w:val="24"/>
        </w:rPr>
        <w:t>, respectively,</w:t>
      </w:r>
      <w:r w:rsidR="005F4C82" w:rsidRPr="00600AFD">
        <w:rPr>
          <w:rFonts w:ascii="Times New Roman" w:hAnsi="Times New Roman" w:cs="Times New Roman"/>
          <w:szCs w:val="24"/>
        </w:rPr>
        <w:t xml:space="preserve"> </w:t>
      </w:r>
      <w:r w:rsidR="00E37B9F" w:rsidRPr="00600AFD">
        <w:rPr>
          <w:rFonts w:ascii="Times New Roman" w:hAnsi="Times New Roman" w:cs="Times New Roman"/>
          <w:szCs w:val="24"/>
        </w:rPr>
        <w:t xml:space="preserve">handle </w:t>
      </w:r>
      <w:r w:rsidR="002026D5" w:rsidRPr="00600AFD">
        <w:rPr>
          <w:rFonts w:ascii="Times New Roman" w:hAnsi="Times New Roman" w:cs="Times New Roman"/>
          <w:szCs w:val="24"/>
        </w:rPr>
        <w:t>both</w:t>
      </w:r>
      <w:r w:rsidR="000766A6" w:rsidRPr="00600AFD">
        <w:rPr>
          <w:rFonts w:ascii="Times New Roman" w:hAnsi="Times New Roman" w:cs="Times New Roman"/>
          <w:szCs w:val="24"/>
        </w:rPr>
        <w:t xml:space="preserve"> </w:t>
      </w:r>
      <w:proofErr w:type="gramStart"/>
      <w:r w:rsidR="000766A6" w:rsidRPr="00600AFD">
        <w:rPr>
          <w:rFonts w:ascii="Times New Roman" w:hAnsi="Times New Roman" w:cs="Times New Roman"/>
          <w:szCs w:val="24"/>
        </w:rPr>
        <w:t>first</w:t>
      </w:r>
      <w:r w:rsidR="000F3999">
        <w:rPr>
          <w:rFonts w:ascii="Times New Roman" w:hAnsi="Times New Roman" w:cs="Times New Roman"/>
          <w:szCs w:val="24"/>
        </w:rPr>
        <w:t>–</w:t>
      </w:r>
      <w:r w:rsidR="000766A6" w:rsidRPr="00600AFD">
        <w:rPr>
          <w:rFonts w:ascii="Times New Roman" w:hAnsi="Times New Roman" w:cs="Times New Roman"/>
          <w:szCs w:val="24"/>
        </w:rPr>
        <w:t>instance</w:t>
      </w:r>
      <w:proofErr w:type="gramEnd"/>
      <w:r w:rsidR="000766A6" w:rsidRPr="00600AFD">
        <w:rPr>
          <w:rFonts w:ascii="Times New Roman" w:hAnsi="Times New Roman" w:cs="Times New Roman"/>
          <w:szCs w:val="24"/>
        </w:rPr>
        <w:t xml:space="preserve"> and second</w:t>
      </w:r>
      <w:r w:rsidR="000F3999">
        <w:rPr>
          <w:rFonts w:ascii="Times New Roman" w:hAnsi="Times New Roman" w:cs="Times New Roman"/>
          <w:szCs w:val="24"/>
        </w:rPr>
        <w:t>–</w:t>
      </w:r>
      <w:r w:rsidR="000766A6" w:rsidRPr="00600AFD">
        <w:rPr>
          <w:rFonts w:ascii="Times New Roman" w:hAnsi="Times New Roman" w:cs="Times New Roman"/>
          <w:szCs w:val="24"/>
        </w:rPr>
        <w:t>instance proceedings.</w:t>
      </w:r>
      <w:r w:rsidR="00E37B9F" w:rsidRPr="00600AFD">
        <w:rPr>
          <w:rFonts w:ascii="Times New Roman" w:hAnsi="Times New Roman" w:cs="Times New Roman"/>
          <w:szCs w:val="24"/>
        </w:rPr>
        <w:t xml:space="preserve"> In addition, </w:t>
      </w:r>
      <w:r w:rsidR="001814E5" w:rsidRPr="00600AFD">
        <w:rPr>
          <w:rFonts w:ascii="Times New Roman" w:hAnsi="Times New Roman" w:cs="Times New Roman"/>
          <w:szCs w:val="24"/>
        </w:rPr>
        <w:t xml:space="preserve">its </w:t>
      </w:r>
      <w:r w:rsidR="00FB0194" w:rsidRPr="00600AFD">
        <w:rPr>
          <w:rFonts w:ascii="Times New Roman" w:hAnsi="Times New Roman" w:cs="Times New Roman"/>
          <w:szCs w:val="24"/>
        </w:rPr>
        <w:t>unique</w:t>
      </w:r>
      <w:r w:rsidR="001814E5" w:rsidRPr="00600AFD">
        <w:rPr>
          <w:rFonts w:ascii="Times New Roman" w:hAnsi="Times New Roman" w:cs="Times New Roman"/>
          <w:szCs w:val="24"/>
        </w:rPr>
        <w:t xml:space="preserve"> character is also reflected </w:t>
      </w:r>
      <w:r w:rsidR="0050101A" w:rsidRPr="00600AFD">
        <w:rPr>
          <w:rFonts w:ascii="Times New Roman" w:hAnsi="Times New Roman" w:cs="Times New Roman"/>
          <w:szCs w:val="24"/>
        </w:rPr>
        <w:t xml:space="preserve">in </w:t>
      </w:r>
      <w:r w:rsidR="00F149CE" w:rsidRPr="00600AFD">
        <w:rPr>
          <w:rFonts w:ascii="Times New Roman" w:hAnsi="Times New Roman" w:cs="Times New Roman"/>
          <w:szCs w:val="24"/>
        </w:rPr>
        <w:t>the competence</w:t>
      </w:r>
      <w:r w:rsidR="00FB0194" w:rsidRPr="00600AFD">
        <w:rPr>
          <w:rFonts w:ascii="Times New Roman" w:hAnsi="Times New Roman" w:cs="Times New Roman"/>
          <w:szCs w:val="24"/>
        </w:rPr>
        <w:t>s</w:t>
      </w:r>
      <w:r w:rsidR="00F149CE" w:rsidRPr="00600AFD">
        <w:rPr>
          <w:rFonts w:ascii="Times New Roman" w:hAnsi="Times New Roman" w:cs="Times New Roman"/>
          <w:szCs w:val="24"/>
        </w:rPr>
        <w:t xml:space="preserve"> </w:t>
      </w:r>
      <w:r w:rsidR="00280798" w:rsidRPr="00600AFD">
        <w:rPr>
          <w:rFonts w:ascii="Times New Roman" w:hAnsi="Times New Roman" w:cs="Times New Roman"/>
          <w:szCs w:val="24"/>
        </w:rPr>
        <w:t xml:space="preserve">laid out in the </w:t>
      </w:r>
      <w:bookmarkStart w:id="11" w:name="_Hlk39656638"/>
      <w:r w:rsidR="00280798" w:rsidRPr="00600AFD">
        <w:rPr>
          <w:rFonts w:ascii="Times New Roman" w:hAnsi="Times New Roman" w:cs="Times New Roman"/>
          <w:szCs w:val="24"/>
        </w:rPr>
        <w:t xml:space="preserve">Law on Organization and Competences of State Authorities </w:t>
      </w:r>
      <w:r w:rsidR="00824224" w:rsidRPr="00600AFD">
        <w:rPr>
          <w:rFonts w:ascii="Times New Roman" w:hAnsi="Times New Roman" w:cs="Times New Roman"/>
          <w:szCs w:val="24"/>
        </w:rPr>
        <w:t xml:space="preserve">in Suppression of </w:t>
      </w:r>
      <w:r w:rsidR="002A4DB2" w:rsidRPr="00600AFD">
        <w:rPr>
          <w:rFonts w:ascii="Times New Roman" w:hAnsi="Times New Roman" w:cs="Times New Roman"/>
          <w:szCs w:val="24"/>
        </w:rPr>
        <w:t xml:space="preserve">Organized Crime, </w:t>
      </w:r>
      <w:r w:rsidR="0011459A" w:rsidRPr="00600AFD">
        <w:rPr>
          <w:rFonts w:ascii="Times New Roman" w:hAnsi="Times New Roman" w:cs="Times New Roman"/>
          <w:szCs w:val="24"/>
        </w:rPr>
        <w:t xml:space="preserve">Terrorism and </w:t>
      </w:r>
      <w:r w:rsidR="002A4DB2" w:rsidRPr="00600AFD">
        <w:rPr>
          <w:rFonts w:ascii="Times New Roman" w:hAnsi="Times New Roman" w:cs="Times New Roman"/>
          <w:szCs w:val="24"/>
        </w:rPr>
        <w:t xml:space="preserve">Corruption </w:t>
      </w:r>
      <w:r w:rsidR="00A2146C" w:rsidRPr="00600AFD">
        <w:rPr>
          <w:rFonts w:ascii="Times New Roman" w:hAnsi="Times New Roman" w:cs="Times New Roman"/>
          <w:szCs w:val="24"/>
        </w:rPr>
        <w:lastRenderedPageBreak/>
        <w:t>(</w:t>
      </w:r>
      <w:r w:rsidR="001E7F09" w:rsidRPr="00600AFD">
        <w:rPr>
          <w:rFonts w:ascii="Times New Roman" w:hAnsi="Times New Roman" w:cs="Times New Roman"/>
          <w:szCs w:val="24"/>
        </w:rPr>
        <w:t xml:space="preserve">“Official Gazette </w:t>
      </w:r>
      <w:r w:rsidR="00D543E5" w:rsidRPr="00600AFD">
        <w:rPr>
          <w:rFonts w:ascii="Times New Roman" w:hAnsi="Times New Roman" w:cs="Times New Roman"/>
          <w:szCs w:val="24"/>
        </w:rPr>
        <w:t xml:space="preserve">of the </w:t>
      </w:r>
      <w:r w:rsidR="001E7F09" w:rsidRPr="00600AFD">
        <w:rPr>
          <w:rFonts w:ascii="Times New Roman" w:hAnsi="Times New Roman" w:cs="Times New Roman"/>
          <w:szCs w:val="24"/>
        </w:rPr>
        <w:t>R</w:t>
      </w:r>
      <w:r w:rsidR="00D543E5" w:rsidRPr="00600AFD">
        <w:rPr>
          <w:rFonts w:ascii="Times New Roman" w:hAnsi="Times New Roman" w:cs="Times New Roman"/>
          <w:szCs w:val="24"/>
        </w:rPr>
        <w:t xml:space="preserve">epublic of </w:t>
      </w:r>
      <w:r w:rsidR="001E7F09" w:rsidRPr="00600AFD">
        <w:rPr>
          <w:rFonts w:ascii="Times New Roman" w:hAnsi="Times New Roman" w:cs="Times New Roman"/>
          <w:szCs w:val="24"/>
        </w:rPr>
        <w:t>S</w:t>
      </w:r>
      <w:r w:rsidR="00D543E5" w:rsidRPr="00600AFD">
        <w:rPr>
          <w:rFonts w:ascii="Times New Roman" w:hAnsi="Times New Roman" w:cs="Times New Roman"/>
          <w:szCs w:val="24"/>
        </w:rPr>
        <w:t>erbia</w:t>
      </w:r>
      <w:r w:rsidR="001E7F09" w:rsidRPr="00600AFD">
        <w:rPr>
          <w:rFonts w:ascii="Times New Roman" w:hAnsi="Times New Roman" w:cs="Times New Roman"/>
          <w:szCs w:val="24"/>
        </w:rPr>
        <w:t xml:space="preserve">”, nos. </w:t>
      </w:r>
      <w:r w:rsidR="00A2146C" w:rsidRPr="00600AFD">
        <w:rPr>
          <w:rFonts w:ascii="Times New Roman" w:hAnsi="Times New Roman" w:cs="Times New Roman"/>
          <w:szCs w:val="24"/>
        </w:rPr>
        <w:t xml:space="preserve">94/16 </w:t>
      </w:r>
      <w:r w:rsidR="001E7F09" w:rsidRPr="00600AFD">
        <w:rPr>
          <w:rFonts w:ascii="Times New Roman" w:hAnsi="Times New Roman" w:cs="Times New Roman"/>
          <w:szCs w:val="24"/>
        </w:rPr>
        <w:t xml:space="preserve">and </w:t>
      </w:r>
      <w:r w:rsidR="00A2146C" w:rsidRPr="00600AFD">
        <w:rPr>
          <w:rFonts w:ascii="Times New Roman" w:hAnsi="Times New Roman" w:cs="Times New Roman"/>
          <w:szCs w:val="24"/>
        </w:rPr>
        <w:t>87/18),</w:t>
      </w:r>
      <w:r w:rsidR="001E7F09" w:rsidRPr="00600AFD">
        <w:rPr>
          <w:rFonts w:ascii="Times New Roman" w:hAnsi="Times New Roman" w:cs="Times New Roman"/>
          <w:szCs w:val="24"/>
        </w:rPr>
        <w:t xml:space="preserve"> under which the Special Organized Crime Department was set up as part of the Higher Court with jurisdiction over the entire territory of the Republic of Serbia, </w:t>
      </w:r>
      <w:r w:rsidR="008638ED" w:rsidRPr="00600AFD">
        <w:rPr>
          <w:rFonts w:ascii="Times New Roman" w:hAnsi="Times New Roman" w:cs="Times New Roman"/>
          <w:szCs w:val="24"/>
        </w:rPr>
        <w:t>while under the Law on Organization and Competences of State Authorities in War Crimes Proceedings (</w:t>
      </w:r>
      <w:r w:rsidR="00D543E5" w:rsidRPr="00600AFD">
        <w:rPr>
          <w:rFonts w:ascii="Times New Roman" w:hAnsi="Times New Roman" w:cs="Times New Roman"/>
          <w:szCs w:val="24"/>
        </w:rPr>
        <w:t>“Official Gazette of the Republic of Serbia”</w:t>
      </w:r>
      <w:r w:rsidR="00D543E5" w:rsidRPr="00600AFD" w:rsidDel="00D543E5">
        <w:rPr>
          <w:rFonts w:ascii="Times New Roman" w:hAnsi="Times New Roman" w:cs="Times New Roman"/>
          <w:szCs w:val="24"/>
        </w:rPr>
        <w:t xml:space="preserve"> </w:t>
      </w:r>
      <w:r w:rsidR="008638ED" w:rsidRPr="00600AFD">
        <w:rPr>
          <w:rFonts w:ascii="Times New Roman" w:hAnsi="Times New Roman" w:cs="Times New Roman"/>
          <w:szCs w:val="24"/>
        </w:rPr>
        <w:t xml:space="preserve">, nos. 67/2003, 135/2004, 61/2005, 101/2007, 104/2009, 101/2011 – another law and 6/2015) </w:t>
      </w:r>
      <w:r w:rsidR="001E7F09" w:rsidRPr="00600AFD">
        <w:rPr>
          <w:rFonts w:ascii="Times New Roman" w:hAnsi="Times New Roman" w:cs="Times New Roman"/>
          <w:szCs w:val="24"/>
        </w:rPr>
        <w:t xml:space="preserve"> the War Crimes Department, also with jurisdiction over the entire territory of the Republic of Serbia, was established</w:t>
      </w:r>
      <w:r w:rsidR="008638ED" w:rsidRPr="00600AFD">
        <w:rPr>
          <w:rFonts w:ascii="Times New Roman" w:hAnsi="Times New Roman" w:cs="Times New Roman"/>
          <w:szCs w:val="24"/>
        </w:rPr>
        <w:t>.</w:t>
      </w:r>
      <w:r w:rsidR="001E7F09" w:rsidRPr="00600AFD">
        <w:rPr>
          <w:rFonts w:ascii="Times New Roman" w:hAnsi="Times New Roman" w:cs="Times New Roman"/>
          <w:szCs w:val="24"/>
        </w:rPr>
        <w:t xml:space="preserve"> </w:t>
      </w:r>
      <w:r w:rsidR="00FB0194" w:rsidRPr="00600AFD">
        <w:rPr>
          <w:rFonts w:ascii="Times New Roman" w:hAnsi="Times New Roman" w:cs="Times New Roman"/>
          <w:szCs w:val="24"/>
        </w:rPr>
        <w:t>Aside from</w:t>
      </w:r>
      <w:r w:rsidR="001E7F09" w:rsidRPr="00600AFD">
        <w:rPr>
          <w:rFonts w:ascii="Times New Roman" w:hAnsi="Times New Roman" w:cs="Times New Roman"/>
          <w:szCs w:val="24"/>
        </w:rPr>
        <w:t xml:space="preserve"> the above, the jurisdiction of the Higher Court was further expanded in the Law on Seats and Territorial Jurisdictions of Courts and Public Prosecutors’ Offices, the Law on Civil Procedure, the Law on Organization of Courts, </w:t>
      </w:r>
      <w:r w:rsidR="004E6207" w:rsidRPr="00600AFD">
        <w:rPr>
          <w:rFonts w:ascii="Times New Roman" w:hAnsi="Times New Roman" w:cs="Times New Roman"/>
          <w:szCs w:val="24"/>
        </w:rPr>
        <w:t xml:space="preserve">the Law on Protection of Whistleblowers, the Law on Protection of Right to Trial within Reasonable Time, as well as the Law on Amendments and Addenda to the Law on Notaries Public. </w:t>
      </w:r>
      <w:bookmarkEnd w:id="11"/>
      <w:r w:rsidR="004E6207" w:rsidRPr="00600AFD">
        <w:rPr>
          <w:rFonts w:ascii="Times New Roman" w:hAnsi="Times New Roman" w:cs="Times New Roman"/>
          <w:szCs w:val="24"/>
        </w:rPr>
        <w:t>Given all of the above, the Higher Court in Belgrade recorded a drastic increase in the inflow of cases, hence</w:t>
      </w:r>
      <w:r w:rsidR="00FB0194" w:rsidRPr="00600AFD">
        <w:rPr>
          <w:rFonts w:ascii="Times New Roman" w:hAnsi="Times New Roman" w:cs="Times New Roman"/>
          <w:szCs w:val="24"/>
        </w:rPr>
        <w:t xml:space="preserve"> during</w:t>
      </w:r>
      <w:r w:rsidR="004E6207" w:rsidRPr="00600AFD">
        <w:rPr>
          <w:rFonts w:ascii="Times New Roman" w:hAnsi="Times New Roman" w:cs="Times New Roman"/>
          <w:szCs w:val="24"/>
        </w:rPr>
        <w:t xml:space="preserve"> the course of 2018, the Higher Court had 210</w:t>
      </w:r>
      <w:r w:rsidR="00FB0194" w:rsidRPr="00600AFD">
        <w:rPr>
          <w:rFonts w:ascii="Times New Roman" w:hAnsi="Times New Roman" w:cs="Times New Roman"/>
          <w:szCs w:val="24"/>
        </w:rPr>
        <w:t>,</w:t>
      </w:r>
      <w:r w:rsidR="004E6207" w:rsidRPr="00600AFD">
        <w:rPr>
          <w:rFonts w:ascii="Times New Roman" w:hAnsi="Times New Roman" w:cs="Times New Roman"/>
          <w:szCs w:val="24"/>
        </w:rPr>
        <w:t>712 pending cases, which was 125.80% more than in the same period in 2016, and 76.04% more cases compared to the same period in 2017</w:t>
      </w:r>
      <w:r w:rsidR="00FB0194" w:rsidRPr="00600AFD">
        <w:rPr>
          <w:rFonts w:ascii="Times New Roman" w:hAnsi="Times New Roman" w:cs="Times New Roman"/>
          <w:szCs w:val="24"/>
        </w:rPr>
        <w:t xml:space="preserve">. Further, </w:t>
      </w:r>
      <w:r w:rsidR="004E6207" w:rsidRPr="00600AFD">
        <w:rPr>
          <w:rFonts w:ascii="Times New Roman" w:hAnsi="Times New Roman" w:cs="Times New Roman"/>
          <w:szCs w:val="24"/>
        </w:rPr>
        <w:t xml:space="preserve">the number of incoming cases rose by 182.40% in comparison to 2016, or 95.75% when compared to 2017. Given the </w:t>
      </w:r>
      <w:r w:rsidR="00FB0194" w:rsidRPr="00600AFD">
        <w:rPr>
          <w:rFonts w:ascii="Times New Roman" w:hAnsi="Times New Roman" w:cs="Times New Roman"/>
          <w:szCs w:val="24"/>
        </w:rPr>
        <w:t>foregoing</w:t>
      </w:r>
      <w:r w:rsidR="004E6207" w:rsidRPr="00600AFD">
        <w:rPr>
          <w:rFonts w:ascii="Times New Roman" w:hAnsi="Times New Roman" w:cs="Times New Roman"/>
          <w:szCs w:val="24"/>
        </w:rPr>
        <w:t xml:space="preserve">, a conclusion may be inferred that the Belgrade Higher Court’s efficiency has an impact on the efficiency of the whole justice system. </w:t>
      </w:r>
    </w:p>
    <w:p w14:paraId="443E3FDE" w14:textId="77777777" w:rsidR="00A2146C" w:rsidRPr="00600AFD" w:rsidRDefault="00FB0194" w:rsidP="00A2146C">
      <w:pPr>
        <w:spacing w:line="276" w:lineRule="auto"/>
        <w:rPr>
          <w:rFonts w:ascii="Times New Roman" w:hAnsi="Times New Roman" w:cs="Times New Roman"/>
          <w:szCs w:val="24"/>
        </w:rPr>
      </w:pPr>
      <w:r w:rsidRPr="00600AFD">
        <w:rPr>
          <w:rFonts w:ascii="Times New Roman" w:hAnsi="Times New Roman" w:cs="Times New Roman"/>
          <w:szCs w:val="24"/>
        </w:rPr>
        <w:t>Similarly</w:t>
      </w:r>
      <w:r w:rsidR="004E6207" w:rsidRPr="00600AFD">
        <w:rPr>
          <w:rFonts w:ascii="Times New Roman" w:hAnsi="Times New Roman" w:cs="Times New Roman"/>
          <w:szCs w:val="24"/>
        </w:rPr>
        <w:t xml:space="preserve">, Belgrade public prosecutors’ offices, particularly the prosecutor’s office for cybercrime </w:t>
      </w:r>
      <w:r w:rsidR="00482995" w:rsidRPr="00600AFD">
        <w:rPr>
          <w:rFonts w:ascii="Times New Roman" w:hAnsi="Times New Roman" w:cs="Times New Roman"/>
          <w:szCs w:val="24"/>
        </w:rPr>
        <w:t xml:space="preserve">and </w:t>
      </w:r>
      <w:r w:rsidR="004E6207" w:rsidRPr="00600AFD">
        <w:rPr>
          <w:rFonts w:ascii="Times New Roman" w:hAnsi="Times New Roman" w:cs="Times New Roman"/>
          <w:szCs w:val="24"/>
        </w:rPr>
        <w:t>the prosecutor’s office for organized crime, have recorded significant increase in their respective caseloads</w:t>
      </w:r>
      <w:r w:rsidR="00482995" w:rsidRPr="00600AFD">
        <w:rPr>
          <w:rFonts w:ascii="Times New Roman" w:hAnsi="Times New Roman" w:cs="Times New Roman"/>
          <w:szCs w:val="24"/>
        </w:rPr>
        <w:t>, therefore, an analysis pertaining to these prosecutors’ offices needs to be conducted as well, and adequate measures taken aimed at achieving more efficient clearance of cases and more equitable caseload.</w:t>
      </w:r>
      <w:r w:rsidR="00A2146C" w:rsidRPr="00600AFD">
        <w:rPr>
          <w:rFonts w:ascii="Times New Roman" w:hAnsi="Times New Roman" w:cs="Times New Roman"/>
          <w:szCs w:val="24"/>
        </w:rPr>
        <w:t xml:space="preserve"> </w:t>
      </w:r>
    </w:p>
    <w:p w14:paraId="232510B3"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Efficient functioning of </w:t>
      </w:r>
      <w:r w:rsidR="004F7BE6" w:rsidRPr="00600AFD">
        <w:rPr>
          <w:rFonts w:ascii="Times New Roman" w:eastAsia="Calibri" w:hAnsi="Times New Roman" w:cs="Times New Roman"/>
          <w:szCs w:val="24"/>
        </w:rPr>
        <w:t>court</w:t>
      </w:r>
      <w:r w:rsidRPr="00600AFD">
        <w:rPr>
          <w:rFonts w:ascii="Times New Roman" w:eastAsia="Calibri" w:hAnsi="Times New Roman" w:cs="Times New Roman"/>
          <w:szCs w:val="24"/>
        </w:rPr>
        <w:t xml:space="preserve"> and prosecutorial administrations affects the efficient functioning of the entire judicial system. As a result of different </w:t>
      </w:r>
      <w:r w:rsidR="004F7BE6" w:rsidRPr="00600AFD">
        <w:rPr>
          <w:rFonts w:ascii="Times New Roman" w:eastAsia="Calibri" w:hAnsi="Times New Roman" w:cs="Times New Roman"/>
          <w:szCs w:val="24"/>
        </w:rPr>
        <w:t>administrative practices</w:t>
      </w:r>
      <w:r w:rsidRPr="00600AFD">
        <w:rPr>
          <w:rFonts w:ascii="Times New Roman" w:eastAsia="Calibri" w:hAnsi="Times New Roman" w:cs="Times New Roman"/>
          <w:szCs w:val="24"/>
        </w:rPr>
        <w:t xml:space="preserve"> applied in the courts and </w:t>
      </w:r>
      <w:r w:rsidR="00B55554" w:rsidRPr="00600AFD">
        <w:rPr>
          <w:rFonts w:ascii="Times New Roman" w:eastAsia="Calibri" w:hAnsi="Times New Roman" w:cs="Times New Roman"/>
          <w:szCs w:val="24"/>
        </w:rPr>
        <w:t>prosecutors’ offices</w:t>
      </w:r>
      <w:r w:rsidRPr="00600AFD">
        <w:rPr>
          <w:rFonts w:ascii="Times New Roman" w:eastAsia="Calibri" w:hAnsi="Times New Roman" w:cs="Times New Roman"/>
          <w:szCs w:val="24"/>
        </w:rPr>
        <w:t xml:space="preserve">, judges and prosecutors are overburdened by administrative and technical tasks. In order to eliminate these shortcomings, measures should be taken in the </w:t>
      </w:r>
      <w:r w:rsidR="004F7BE6" w:rsidRPr="00600AFD">
        <w:rPr>
          <w:rFonts w:ascii="Times New Roman" w:eastAsia="Calibri" w:hAnsi="Times New Roman" w:cs="Times New Roman"/>
          <w:szCs w:val="24"/>
        </w:rPr>
        <w:t>up</w:t>
      </w:r>
      <w:r w:rsidRPr="00600AFD">
        <w:rPr>
          <w:rFonts w:ascii="Times New Roman" w:eastAsia="Calibri" w:hAnsi="Times New Roman" w:cs="Times New Roman"/>
          <w:szCs w:val="24"/>
        </w:rPr>
        <w:t xml:space="preserve">coming period to modernize and harmonize both the </w:t>
      </w:r>
      <w:r w:rsidR="00176DB8" w:rsidRPr="00600AFD">
        <w:rPr>
          <w:rFonts w:ascii="Times New Roman" w:eastAsia="Calibri" w:hAnsi="Times New Roman" w:cs="Times New Roman"/>
          <w:szCs w:val="24"/>
        </w:rPr>
        <w:t>practices</w:t>
      </w:r>
      <w:r w:rsidRPr="00600AFD">
        <w:rPr>
          <w:rFonts w:ascii="Times New Roman" w:eastAsia="Calibri" w:hAnsi="Times New Roman" w:cs="Times New Roman"/>
          <w:szCs w:val="24"/>
        </w:rPr>
        <w:t xml:space="preserve"> and the organization of work processes. At the same time, it is </w:t>
      </w:r>
      <w:r w:rsidR="00846DA9" w:rsidRPr="00600AFD">
        <w:rPr>
          <w:rFonts w:ascii="Times New Roman" w:eastAsia="Calibri" w:hAnsi="Times New Roman" w:cs="Times New Roman"/>
          <w:szCs w:val="24"/>
        </w:rPr>
        <w:t xml:space="preserve">also </w:t>
      </w:r>
      <w:r w:rsidRPr="00600AFD">
        <w:rPr>
          <w:rFonts w:ascii="Times New Roman" w:eastAsia="Calibri" w:hAnsi="Times New Roman" w:cs="Times New Roman"/>
          <w:szCs w:val="24"/>
        </w:rPr>
        <w:t xml:space="preserve">necessary to improve the system of </w:t>
      </w:r>
      <w:r w:rsidR="00176DB8" w:rsidRPr="00600AFD">
        <w:rPr>
          <w:rFonts w:ascii="Times New Roman" w:eastAsia="Calibri" w:hAnsi="Times New Roman" w:cs="Times New Roman"/>
          <w:szCs w:val="24"/>
        </w:rPr>
        <w:t>service of process</w:t>
      </w:r>
      <w:r w:rsidR="00241BF7"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and the court fees collection system, as factors that affect efficiency.</w:t>
      </w:r>
    </w:p>
    <w:p w14:paraId="5FFE6FD4" w14:textId="5EC8AA01"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In order to improve the efficiency of judiciary, in the previous period the Republic of Serbia amended a number of procedural laws (</w:t>
      </w:r>
      <w:bookmarkStart w:id="12" w:name="_Hlk39656966"/>
      <w:r w:rsidRPr="00600AFD">
        <w:rPr>
          <w:rFonts w:ascii="Times New Roman" w:eastAsia="Calibri" w:hAnsi="Times New Roman" w:cs="Times New Roman"/>
          <w:szCs w:val="24"/>
        </w:rPr>
        <w:t>Criminal Procedure Code, Civil Procedure Law, Bankruptcy Law, Law on General Administrative Procedure, Law on Enforcement and Security, Law on Non</w:t>
      </w:r>
      <w:r w:rsidR="000F3999">
        <w:rPr>
          <w:rFonts w:ascii="Times New Roman" w:eastAsia="Calibri" w:hAnsi="Times New Roman" w:cs="Times New Roman"/>
          <w:szCs w:val="24"/>
        </w:rPr>
        <w:t>–</w:t>
      </w:r>
      <w:r w:rsidRPr="00600AFD">
        <w:rPr>
          <w:rFonts w:ascii="Times New Roman" w:eastAsia="Calibri" w:hAnsi="Times New Roman" w:cs="Times New Roman"/>
          <w:szCs w:val="24"/>
        </w:rPr>
        <w:t>Contentious Proceedings</w:t>
      </w:r>
      <w:bookmarkEnd w:id="12"/>
      <w:r w:rsidRPr="00600AFD">
        <w:rPr>
          <w:rFonts w:ascii="Times New Roman" w:eastAsia="Calibri" w:hAnsi="Times New Roman" w:cs="Times New Roman"/>
          <w:szCs w:val="24"/>
        </w:rPr>
        <w:t xml:space="preserve">, and others). Bearing in mind that procedural laws are of the utmost importance for citizens and legal entities as participants in the proceedings, as they enable the </w:t>
      </w:r>
      <w:r w:rsidR="00241BF7" w:rsidRPr="00600AFD">
        <w:rPr>
          <w:rFonts w:ascii="Times New Roman" w:eastAsia="Calibri" w:hAnsi="Times New Roman" w:cs="Times New Roman"/>
          <w:szCs w:val="24"/>
        </w:rPr>
        <w:t>enforcement</w:t>
      </w:r>
      <w:r w:rsidRPr="00600AFD">
        <w:rPr>
          <w:rFonts w:ascii="Times New Roman" w:eastAsia="Calibri" w:hAnsi="Times New Roman" w:cs="Times New Roman"/>
          <w:szCs w:val="24"/>
        </w:rPr>
        <w:t xml:space="preserve"> and protection of their rights, it is necessary to continuously monitor the </w:t>
      </w:r>
      <w:r w:rsidR="00D550D7" w:rsidRPr="00600AFD">
        <w:rPr>
          <w:rFonts w:ascii="Times New Roman" w:eastAsia="Calibri" w:hAnsi="Times New Roman" w:cs="Times New Roman"/>
          <w:szCs w:val="24"/>
        </w:rPr>
        <w:t xml:space="preserve">effects </w:t>
      </w:r>
      <w:r w:rsidRPr="00600AFD">
        <w:rPr>
          <w:rFonts w:ascii="Times New Roman" w:eastAsia="Calibri" w:hAnsi="Times New Roman" w:cs="Times New Roman"/>
          <w:szCs w:val="24"/>
        </w:rPr>
        <w:t xml:space="preserve">of implementation of these laws and </w:t>
      </w:r>
      <w:r w:rsidR="00176DB8" w:rsidRPr="00600AFD">
        <w:rPr>
          <w:rFonts w:ascii="Times New Roman" w:eastAsia="Calibri" w:hAnsi="Times New Roman" w:cs="Times New Roman"/>
          <w:szCs w:val="24"/>
        </w:rPr>
        <w:t>amend</w:t>
      </w:r>
      <w:r w:rsidRPr="00600AFD">
        <w:rPr>
          <w:rFonts w:ascii="Times New Roman" w:eastAsia="Calibri" w:hAnsi="Times New Roman" w:cs="Times New Roman"/>
          <w:szCs w:val="24"/>
        </w:rPr>
        <w:t xml:space="preserve"> them in accordance with the results</w:t>
      </w:r>
      <w:r w:rsidR="00241BF7" w:rsidRPr="00600AFD">
        <w:rPr>
          <w:rFonts w:ascii="Times New Roman" w:eastAsia="Calibri" w:hAnsi="Times New Roman" w:cs="Times New Roman"/>
          <w:szCs w:val="24"/>
        </w:rPr>
        <w:t xml:space="preserve"> achieved</w:t>
      </w:r>
      <w:r w:rsidRPr="00600AFD">
        <w:rPr>
          <w:rFonts w:ascii="Times New Roman" w:eastAsia="Calibri" w:hAnsi="Times New Roman" w:cs="Times New Roman"/>
          <w:szCs w:val="24"/>
        </w:rPr>
        <w:t xml:space="preserve">. It is also important to point out the fact that the level of social need for reform is not the same for all procedural laws. The aim of these changes should be primarily to improve the quality and </w:t>
      </w:r>
      <w:r w:rsidRPr="00600AFD">
        <w:rPr>
          <w:rFonts w:ascii="Times New Roman" w:eastAsia="Calibri" w:hAnsi="Times New Roman" w:cs="Times New Roman"/>
          <w:szCs w:val="24"/>
        </w:rPr>
        <w:lastRenderedPageBreak/>
        <w:t>enable faster conclusion of proceedings, i.e. their completion within a reasonable time, with respect for human rights</w:t>
      </w:r>
      <w:r w:rsidR="00176DB8" w:rsidRPr="00600AFD">
        <w:rPr>
          <w:rFonts w:ascii="Times New Roman" w:eastAsia="Calibri" w:hAnsi="Times New Roman" w:cs="Times New Roman"/>
          <w:szCs w:val="24"/>
        </w:rPr>
        <w:t>,</w:t>
      </w:r>
      <w:r w:rsidRPr="00600AFD">
        <w:rPr>
          <w:rFonts w:ascii="Times New Roman" w:eastAsia="Calibri" w:hAnsi="Times New Roman" w:cs="Times New Roman"/>
          <w:szCs w:val="24"/>
        </w:rPr>
        <w:t xml:space="preserve"> and in accordance with accepted international standards.</w:t>
      </w:r>
    </w:p>
    <w:p w14:paraId="3F14F8D3"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Along with procedural laws, court interpreters and expert witnesses also significantly influence the efficiency of court proceedings, and adequate measures must be taken to improve their work and clarify their roles and responsibilities in court proceedings.</w:t>
      </w:r>
    </w:p>
    <w:p w14:paraId="229A8435" w14:textId="2D638744" w:rsidR="0087783D" w:rsidRPr="00600AFD" w:rsidRDefault="0087783D" w:rsidP="0087783D">
      <w:pPr>
        <w:spacing w:after="240"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In order to </w:t>
      </w:r>
      <w:r w:rsidR="00241BF7" w:rsidRPr="00600AFD">
        <w:rPr>
          <w:rFonts w:ascii="Times New Roman" w:eastAsia="Calibri" w:hAnsi="Times New Roman" w:cs="Times New Roman"/>
          <w:szCs w:val="24"/>
        </w:rPr>
        <w:t>achieve</w:t>
      </w:r>
      <w:r w:rsidRPr="00600AFD">
        <w:rPr>
          <w:rFonts w:ascii="Times New Roman" w:eastAsia="Calibri" w:hAnsi="Times New Roman" w:cs="Times New Roman"/>
          <w:szCs w:val="24"/>
        </w:rPr>
        <w:t xml:space="preserve"> the </w:t>
      </w:r>
      <w:r w:rsidR="00D550D7" w:rsidRPr="00600AFD">
        <w:rPr>
          <w:rFonts w:ascii="Times New Roman" w:eastAsia="Calibri" w:hAnsi="Times New Roman" w:cs="Times New Roman"/>
          <w:szCs w:val="24"/>
        </w:rPr>
        <w:t xml:space="preserve">specific </w:t>
      </w:r>
      <w:r w:rsidR="00241BF7" w:rsidRPr="00600AFD">
        <w:rPr>
          <w:rFonts w:ascii="Times New Roman" w:eastAsia="Calibri" w:hAnsi="Times New Roman" w:cs="Times New Roman"/>
          <w:szCs w:val="24"/>
        </w:rPr>
        <w:t>objective</w:t>
      </w:r>
      <w:r w:rsidR="00D550D7" w:rsidRPr="00600AFD">
        <w:rPr>
          <w:rFonts w:ascii="Times New Roman" w:eastAsia="Calibri" w:hAnsi="Times New Roman" w:cs="Times New Roman"/>
          <w:szCs w:val="24"/>
        </w:rPr>
        <w:t xml:space="preserve"> 4,</w:t>
      </w:r>
      <w:r w:rsidR="00241BF7"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 xml:space="preserve">reflected in </w:t>
      </w:r>
      <w:r w:rsidRPr="00600AFD">
        <w:rPr>
          <w:rFonts w:ascii="Times New Roman" w:eastAsia="Calibri" w:hAnsi="Times New Roman" w:cs="Times New Roman"/>
          <w:i/>
          <w:szCs w:val="24"/>
        </w:rPr>
        <w:t xml:space="preserve">further </w:t>
      </w:r>
      <w:r w:rsidR="00D550D7" w:rsidRPr="00600AFD">
        <w:rPr>
          <w:rFonts w:ascii="Times New Roman" w:eastAsia="Calibri" w:hAnsi="Times New Roman" w:cs="Times New Roman"/>
          <w:i/>
          <w:szCs w:val="24"/>
        </w:rPr>
        <w:t xml:space="preserve">advancement </w:t>
      </w:r>
      <w:r w:rsidRPr="00600AFD">
        <w:rPr>
          <w:rFonts w:ascii="Times New Roman" w:eastAsia="Calibri" w:hAnsi="Times New Roman" w:cs="Times New Roman"/>
          <w:i/>
          <w:szCs w:val="24"/>
        </w:rPr>
        <w:t>of mechanisms that enable effective management of the justice system, rational use of resources, dealing with and acting in cases in accordance with the law and within</w:t>
      </w:r>
      <w:r w:rsidR="00FA7085" w:rsidRPr="00600AFD">
        <w:rPr>
          <w:rFonts w:ascii="Times New Roman" w:eastAsia="Calibri" w:hAnsi="Times New Roman" w:cs="Times New Roman"/>
          <w:i/>
          <w:szCs w:val="24"/>
        </w:rPr>
        <w:t xml:space="preserve"> a</w:t>
      </w:r>
      <w:r w:rsidRPr="00600AFD">
        <w:rPr>
          <w:rFonts w:ascii="Times New Roman" w:eastAsia="Calibri" w:hAnsi="Times New Roman" w:cs="Times New Roman"/>
          <w:i/>
          <w:szCs w:val="24"/>
        </w:rPr>
        <w:t xml:space="preserve"> reasonable </w:t>
      </w:r>
      <w:r w:rsidR="00FA7085" w:rsidRPr="00600AFD">
        <w:rPr>
          <w:rFonts w:ascii="Times New Roman" w:eastAsia="Calibri" w:hAnsi="Times New Roman" w:cs="Times New Roman"/>
          <w:i/>
          <w:szCs w:val="24"/>
        </w:rPr>
        <w:t xml:space="preserve">time </w:t>
      </w:r>
      <w:r w:rsidRPr="00600AFD">
        <w:rPr>
          <w:rFonts w:ascii="Times New Roman" w:eastAsia="Calibri" w:hAnsi="Times New Roman" w:cs="Times New Roman"/>
          <w:i/>
          <w:szCs w:val="24"/>
        </w:rPr>
        <w:t>while respecting human and minority rights and freedoms, as well as the reduction of the total number of pending cases, taking into account also the reduction of the number of backlog cases</w:t>
      </w:r>
      <w:r w:rsidRPr="00600AFD">
        <w:rPr>
          <w:rFonts w:ascii="Times New Roman" w:eastAsia="Calibri" w:hAnsi="Times New Roman" w:cs="Times New Roman"/>
          <w:szCs w:val="24"/>
        </w:rPr>
        <w:t>, it is necessary to implement the following measures:</w:t>
      </w:r>
    </w:p>
    <w:tbl>
      <w:tblPr>
        <w:tblStyle w:val="TableGrid1"/>
        <w:tblW w:w="0" w:type="auto"/>
        <w:tblLook w:val="04A0" w:firstRow="1" w:lastRow="0" w:firstColumn="1" w:lastColumn="0" w:noHBand="0" w:noVBand="1"/>
      </w:tblPr>
      <w:tblGrid>
        <w:gridCol w:w="615"/>
        <w:gridCol w:w="923"/>
        <w:gridCol w:w="7812"/>
      </w:tblGrid>
      <w:tr w:rsidR="0087783D" w:rsidRPr="00600AFD" w14:paraId="270B1CCF" w14:textId="77777777" w:rsidTr="00C55662">
        <w:tc>
          <w:tcPr>
            <w:tcW w:w="615" w:type="dxa"/>
            <w:shd w:val="clear" w:color="auto" w:fill="D9E2F3"/>
          </w:tcPr>
          <w:p w14:paraId="1CCE98A8" w14:textId="77777777" w:rsidR="0087783D" w:rsidRPr="00600AFD" w:rsidRDefault="0087783D" w:rsidP="00EC1683">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1</w:t>
            </w:r>
          </w:p>
        </w:tc>
        <w:tc>
          <w:tcPr>
            <w:tcW w:w="8735" w:type="dxa"/>
            <w:gridSpan w:val="2"/>
          </w:tcPr>
          <w:p w14:paraId="3CC32FBC" w14:textId="5D6B5E85" w:rsidR="0087783D" w:rsidRPr="00600AFD" w:rsidRDefault="0087783D" w:rsidP="004A5C2E">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Continuous monitor</w:t>
            </w:r>
            <w:r w:rsidR="00397F47" w:rsidRPr="00600AFD">
              <w:rPr>
                <w:rFonts w:ascii="Times New Roman" w:eastAsia="Calibri" w:hAnsi="Times New Roman" w:cs="Times New Roman"/>
                <w:szCs w:val="24"/>
              </w:rPr>
              <w:t>ing</w:t>
            </w:r>
            <w:r w:rsidRPr="00600AFD">
              <w:rPr>
                <w:rFonts w:ascii="Times New Roman" w:eastAsia="Calibri" w:hAnsi="Times New Roman" w:cs="Times New Roman"/>
                <w:szCs w:val="24"/>
              </w:rPr>
              <w:t xml:space="preserve"> and </w:t>
            </w:r>
            <w:r w:rsidR="00397F47" w:rsidRPr="00600AFD">
              <w:rPr>
                <w:rFonts w:ascii="Times New Roman" w:eastAsia="Calibri" w:hAnsi="Times New Roman" w:cs="Times New Roman"/>
                <w:szCs w:val="24"/>
              </w:rPr>
              <w:t xml:space="preserve">advancement of </w:t>
            </w:r>
            <w:r w:rsidRPr="00600AFD">
              <w:rPr>
                <w:rFonts w:ascii="Times New Roman" w:eastAsia="Calibri" w:hAnsi="Times New Roman" w:cs="Times New Roman"/>
                <w:szCs w:val="24"/>
              </w:rPr>
              <w:t xml:space="preserve">efficiency of the judicial network, including </w:t>
            </w:r>
            <w:r w:rsidR="00241BF7" w:rsidRPr="00600AFD">
              <w:rPr>
                <w:rFonts w:ascii="Times New Roman" w:eastAsia="Calibri" w:hAnsi="Times New Roman" w:cs="Times New Roman"/>
                <w:szCs w:val="24"/>
              </w:rPr>
              <w:t>cost</w:t>
            </w:r>
            <w:r w:rsidR="000F3999">
              <w:rPr>
                <w:rFonts w:ascii="Times New Roman" w:eastAsia="Calibri" w:hAnsi="Times New Roman" w:cs="Times New Roman"/>
                <w:szCs w:val="24"/>
              </w:rPr>
              <w:t>–</w:t>
            </w:r>
            <w:r w:rsidR="00241BF7" w:rsidRPr="00600AFD">
              <w:rPr>
                <w:rFonts w:ascii="Times New Roman" w:eastAsia="Calibri" w:hAnsi="Times New Roman" w:cs="Times New Roman"/>
                <w:szCs w:val="24"/>
              </w:rPr>
              <w:t>benefit</w:t>
            </w:r>
            <w:r w:rsidRPr="00600AFD">
              <w:rPr>
                <w:rFonts w:ascii="Times New Roman" w:eastAsia="Calibri" w:hAnsi="Times New Roman" w:cs="Times New Roman"/>
                <w:szCs w:val="24"/>
              </w:rPr>
              <w:t xml:space="preserve"> analyses related to relevant issues</w:t>
            </w:r>
            <w:r w:rsidR="00397F47" w:rsidRPr="00600AFD">
              <w:rPr>
                <w:rFonts w:ascii="Times New Roman" w:eastAsia="Calibri" w:hAnsi="Times New Roman" w:cs="Times New Roman"/>
                <w:szCs w:val="24"/>
              </w:rPr>
              <w:t xml:space="preserve">, bearing in mind </w:t>
            </w:r>
            <w:r w:rsidR="00D93EB4" w:rsidRPr="00600AFD">
              <w:rPr>
                <w:rFonts w:ascii="Times New Roman" w:eastAsia="Calibri" w:hAnsi="Times New Roman" w:cs="Times New Roman"/>
                <w:szCs w:val="24"/>
              </w:rPr>
              <w:t>particularities</w:t>
            </w:r>
            <w:r w:rsidR="00397F47" w:rsidRPr="00600AFD">
              <w:rPr>
                <w:rFonts w:ascii="Times New Roman" w:eastAsia="Calibri" w:hAnsi="Times New Roman" w:cs="Times New Roman"/>
                <w:szCs w:val="24"/>
              </w:rPr>
              <w:t xml:space="preserve"> </w:t>
            </w:r>
            <w:r w:rsidR="00D93EB4" w:rsidRPr="00600AFD">
              <w:rPr>
                <w:rFonts w:ascii="Times New Roman" w:eastAsia="Calibri" w:hAnsi="Times New Roman" w:cs="Times New Roman"/>
                <w:szCs w:val="24"/>
              </w:rPr>
              <w:t>of the territories</w:t>
            </w:r>
            <w:r w:rsidRPr="00600AFD">
              <w:rPr>
                <w:rFonts w:ascii="Times New Roman" w:eastAsia="Calibri" w:hAnsi="Times New Roman" w:cs="Times New Roman"/>
                <w:szCs w:val="24"/>
              </w:rPr>
              <w:t>;</w:t>
            </w:r>
          </w:p>
        </w:tc>
      </w:tr>
      <w:tr w:rsidR="00397F47" w:rsidRPr="00600AFD" w14:paraId="427C6B5F" w14:textId="77777777" w:rsidTr="00C55662">
        <w:tc>
          <w:tcPr>
            <w:tcW w:w="615" w:type="dxa"/>
            <w:shd w:val="clear" w:color="auto" w:fill="D9E2F3"/>
          </w:tcPr>
          <w:p w14:paraId="705CFF0C" w14:textId="77777777" w:rsidR="00397F47" w:rsidRPr="00600AFD" w:rsidRDefault="00397F47" w:rsidP="00EC1683">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2</w:t>
            </w:r>
          </w:p>
        </w:tc>
        <w:tc>
          <w:tcPr>
            <w:tcW w:w="8735" w:type="dxa"/>
            <w:gridSpan w:val="2"/>
          </w:tcPr>
          <w:p w14:paraId="3AB164FF" w14:textId="77777777" w:rsidR="00397F47" w:rsidRPr="00600AFD" w:rsidRDefault="00397F47" w:rsidP="004A5C2E">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Continuous monitoring of </w:t>
            </w:r>
            <w:r w:rsidR="00A83F73" w:rsidRPr="00600AFD">
              <w:rPr>
                <w:rFonts w:ascii="Times New Roman" w:eastAsia="Calibri" w:hAnsi="Times New Roman" w:cs="Times New Roman"/>
                <w:szCs w:val="24"/>
              </w:rPr>
              <w:t xml:space="preserve">the </w:t>
            </w:r>
            <w:r w:rsidRPr="00600AFD">
              <w:rPr>
                <w:rFonts w:ascii="Times New Roman" w:eastAsia="Calibri" w:hAnsi="Times New Roman" w:cs="Times New Roman"/>
                <w:szCs w:val="24"/>
              </w:rPr>
              <w:t xml:space="preserve">caseload of the network of basic courts and the Higher Court in Belgrade, as well as higher courts from other appellate courts’ jurisdictions, along with taking special measures and creating conditions for redistribution of cases aimed </w:t>
            </w:r>
            <w:r w:rsidR="00A83F73" w:rsidRPr="00600AFD">
              <w:rPr>
                <w:rFonts w:ascii="Times New Roman" w:eastAsia="Calibri" w:hAnsi="Times New Roman" w:cs="Times New Roman"/>
                <w:szCs w:val="24"/>
              </w:rPr>
              <w:t>at</w:t>
            </w:r>
            <w:r w:rsidRPr="00600AFD">
              <w:rPr>
                <w:rFonts w:ascii="Times New Roman" w:eastAsia="Calibri" w:hAnsi="Times New Roman" w:cs="Times New Roman"/>
                <w:szCs w:val="24"/>
              </w:rPr>
              <w:t xml:space="preserve"> alleviating the caseload</w:t>
            </w:r>
            <w:r w:rsidR="00A83F73" w:rsidRPr="00600AFD">
              <w:rPr>
                <w:rFonts w:ascii="Times New Roman" w:eastAsia="Calibri" w:hAnsi="Times New Roman" w:cs="Times New Roman"/>
                <w:szCs w:val="24"/>
              </w:rPr>
              <w:t>s</w:t>
            </w:r>
            <w:r w:rsidRPr="00600AFD">
              <w:rPr>
                <w:rFonts w:ascii="Times New Roman" w:eastAsia="Calibri" w:hAnsi="Times New Roman" w:cs="Times New Roman"/>
                <w:szCs w:val="24"/>
              </w:rPr>
              <w:t xml:space="preserve"> of these courts (e.g. increase in the number of judges in correlation to the number of cases, changes to the normative framework aimed at achieving equitable caseload, specialization of judges, automation of work processes, referral of cases, alternative dispute resolution, adequate premises, etc.)   </w:t>
            </w:r>
          </w:p>
        </w:tc>
      </w:tr>
      <w:tr w:rsidR="00397F47" w:rsidRPr="00600AFD" w14:paraId="091554A4" w14:textId="77777777" w:rsidTr="00C55662">
        <w:tc>
          <w:tcPr>
            <w:tcW w:w="615" w:type="dxa"/>
            <w:shd w:val="clear" w:color="auto" w:fill="D9E2F3"/>
          </w:tcPr>
          <w:p w14:paraId="3A2FE218" w14:textId="77777777" w:rsidR="00397F47" w:rsidRPr="00600AFD" w:rsidRDefault="00397F47" w:rsidP="00EC1683">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3</w:t>
            </w:r>
          </w:p>
        </w:tc>
        <w:tc>
          <w:tcPr>
            <w:tcW w:w="8735" w:type="dxa"/>
            <w:gridSpan w:val="2"/>
          </w:tcPr>
          <w:p w14:paraId="54330857" w14:textId="77777777" w:rsidR="00397F47" w:rsidRDefault="00397F47" w:rsidP="00EC1683">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Continuous monitoring of </w:t>
            </w:r>
            <w:r w:rsidR="00A83F73" w:rsidRPr="00600AFD">
              <w:rPr>
                <w:rFonts w:ascii="Times New Roman" w:eastAsia="Calibri" w:hAnsi="Times New Roman" w:cs="Times New Roman"/>
                <w:szCs w:val="24"/>
              </w:rPr>
              <w:t xml:space="preserve">the </w:t>
            </w:r>
            <w:r w:rsidRPr="00600AFD">
              <w:rPr>
                <w:rFonts w:ascii="Times New Roman" w:eastAsia="Calibri" w:hAnsi="Times New Roman" w:cs="Times New Roman"/>
                <w:szCs w:val="24"/>
              </w:rPr>
              <w:t xml:space="preserve">caseload </w:t>
            </w:r>
            <w:r w:rsidR="001160F8" w:rsidRPr="00600AFD">
              <w:rPr>
                <w:rFonts w:ascii="Times New Roman" w:eastAsia="Calibri" w:hAnsi="Times New Roman" w:cs="Times New Roman"/>
                <w:szCs w:val="24"/>
              </w:rPr>
              <w:t xml:space="preserve">of the network of public prosecutors’ offices in the </w:t>
            </w:r>
            <w:r w:rsidR="00291280" w:rsidRPr="00600AFD">
              <w:rPr>
                <w:rFonts w:ascii="Times New Roman" w:eastAsia="Calibri" w:hAnsi="Times New Roman" w:cs="Times New Roman"/>
                <w:szCs w:val="24"/>
              </w:rPr>
              <w:t xml:space="preserve">territory </w:t>
            </w:r>
            <w:r w:rsidR="001160F8" w:rsidRPr="00600AFD">
              <w:rPr>
                <w:rFonts w:ascii="Times New Roman" w:eastAsia="Calibri" w:hAnsi="Times New Roman" w:cs="Times New Roman"/>
                <w:szCs w:val="24"/>
              </w:rPr>
              <w:t>of the City of Belgrade, along with taking special measures and adopting adequate internal strategic documents aimed at enhancing the clearance rate and achieving an equitable caseload, bearing in mind specific characteristics of special departments (e.g. increase in the number of deputy public prosecutors in correlation with the number cases, automation of work processes, adequate premises, etc.)</w:t>
            </w:r>
          </w:p>
          <w:p w14:paraId="5A01909A" w14:textId="268B972B" w:rsidR="00D82920" w:rsidRPr="00600AFD" w:rsidRDefault="00D82920" w:rsidP="00EC1683">
            <w:pPr>
              <w:spacing w:after="120" w:line="276" w:lineRule="auto"/>
              <w:rPr>
                <w:rFonts w:ascii="Times New Roman" w:eastAsia="Calibri" w:hAnsi="Times New Roman" w:cs="Times New Roman"/>
                <w:szCs w:val="24"/>
              </w:rPr>
            </w:pPr>
          </w:p>
        </w:tc>
      </w:tr>
      <w:tr w:rsidR="0087783D" w:rsidRPr="00600AFD" w14:paraId="6273065E" w14:textId="77777777" w:rsidTr="00C55662">
        <w:tc>
          <w:tcPr>
            <w:tcW w:w="615" w:type="dxa"/>
            <w:shd w:val="clear" w:color="auto" w:fill="D9E2F3"/>
          </w:tcPr>
          <w:p w14:paraId="125CD240"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4</w:t>
            </w:r>
          </w:p>
        </w:tc>
        <w:tc>
          <w:tcPr>
            <w:tcW w:w="8735" w:type="dxa"/>
            <w:gridSpan w:val="2"/>
          </w:tcPr>
          <w:p w14:paraId="0DFA9D59" w14:textId="77777777" w:rsidR="0087783D" w:rsidRPr="00600AFD" w:rsidRDefault="0087783D" w:rsidP="0087783D">
            <w:pPr>
              <w:spacing w:after="120"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Adopt</w:t>
            </w:r>
            <w:r w:rsidR="001160F8" w:rsidRPr="00600AFD">
              <w:rPr>
                <w:rFonts w:ascii="Times New Roman" w:eastAsia="Calibri" w:hAnsi="Times New Roman" w:cs="Times New Roman"/>
                <w:szCs w:val="24"/>
              </w:rPr>
              <w:t>ion</w:t>
            </w:r>
            <w:r w:rsidRPr="00600AFD">
              <w:rPr>
                <w:rFonts w:ascii="Times New Roman" w:eastAsia="Calibri" w:hAnsi="Times New Roman" w:cs="Times New Roman"/>
                <w:szCs w:val="24"/>
              </w:rPr>
              <w:t xml:space="preserve"> and efficient implement</w:t>
            </w:r>
            <w:r w:rsidR="001160F8" w:rsidRPr="00600AFD">
              <w:rPr>
                <w:rFonts w:ascii="Times New Roman" w:eastAsia="Calibri" w:hAnsi="Times New Roman" w:cs="Times New Roman"/>
                <w:szCs w:val="24"/>
              </w:rPr>
              <w:t>ation of</w:t>
            </w:r>
            <w:r w:rsidRPr="00600AFD">
              <w:rPr>
                <w:rFonts w:ascii="Times New Roman" w:eastAsia="Calibri" w:hAnsi="Times New Roman" w:cs="Times New Roman"/>
                <w:szCs w:val="24"/>
              </w:rPr>
              <w:t xml:space="preserve"> the Human Resources Management Strategy for the purpose of more effective/optimal planning, recruitment, assignment, motivation</w:t>
            </w:r>
            <w:r w:rsidR="00176DB8" w:rsidRPr="00600AFD">
              <w:rPr>
                <w:rFonts w:ascii="Times New Roman" w:eastAsia="Calibri" w:hAnsi="Times New Roman" w:cs="Times New Roman"/>
                <w:szCs w:val="24"/>
              </w:rPr>
              <w:t>,</w:t>
            </w:r>
            <w:r w:rsidRPr="00600AFD">
              <w:rPr>
                <w:rFonts w:ascii="Times New Roman" w:eastAsia="Calibri" w:hAnsi="Times New Roman" w:cs="Times New Roman"/>
                <w:szCs w:val="24"/>
              </w:rPr>
              <w:t xml:space="preserve"> and advancement within the judiciary;</w:t>
            </w:r>
          </w:p>
        </w:tc>
      </w:tr>
      <w:tr w:rsidR="0087783D" w:rsidRPr="00600AFD" w14:paraId="3A3F500F" w14:textId="77777777" w:rsidTr="00C55662">
        <w:tc>
          <w:tcPr>
            <w:tcW w:w="615" w:type="dxa"/>
            <w:shd w:val="clear" w:color="auto" w:fill="D9E2F3"/>
          </w:tcPr>
          <w:p w14:paraId="71C83656"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5</w:t>
            </w:r>
          </w:p>
        </w:tc>
        <w:tc>
          <w:tcPr>
            <w:tcW w:w="8735" w:type="dxa"/>
            <w:gridSpan w:val="2"/>
          </w:tcPr>
          <w:p w14:paraId="44253BEE" w14:textId="34DCEE41" w:rsidR="0087783D" w:rsidRDefault="00B04092" w:rsidP="0087783D">
            <w:pPr>
              <w:spacing w:after="120" w:line="276" w:lineRule="auto"/>
              <w:rPr>
                <w:rFonts w:ascii="Times New Roman" w:eastAsia="Calibri" w:hAnsi="Times New Roman" w:cs="Times New Roman"/>
                <w:szCs w:val="24"/>
              </w:rPr>
            </w:pPr>
            <w:r w:rsidRPr="00B04092">
              <w:rPr>
                <w:rFonts w:ascii="Times New Roman" w:eastAsia="Calibri" w:hAnsi="Times New Roman" w:cs="Times New Roman"/>
                <w:szCs w:val="24"/>
              </w:rPr>
              <w:t xml:space="preserve">Adoption of </w:t>
            </w:r>
            <w:r w:rsidRPr="00600AFD">
              <w:rPr>
                <w:rFonts w:ascii="Times New Roman" w:eastAsia="Calibri" w:hAnsi="Times New Roman" w:cs="Times New Roman"/>
                <w:szCs w:val="24"/>
              </w:rPr>
              <w:t>the Unified Program for the Resolution of Backlog Cases</w:t>
            </w:r>
            <w:r w:rsidRPr="00B04092">
              <w:rPr>
                <w:rFonts w:ascii="Times New Roman" w:eastAsia="Calibri" w:hAnsi="Times New Roman" w:cs="Times New Roman"/>
                <w:szCs w:val="24"/>
              </w:rPr>
              <w:t xml:space="preserve"> of the Supreme Court of Cassation for the period 2021-2025, in accordance with the results of the implementation of the previous program;</w:t>
            </w:r>
          </w:p>
          <w:p w14:paraId="28D97A8E" w14:textId="6378E86F" w:rsidR="00D82920" w:rsidRPr="00600AFD" w:rsidRDefault="00D82920" w:rsidP="0087783D">
            <w:pPr>
              <w:spacing w:after="120" w:line="276" w:lineRule="auto"/>
              <w:rPr>
                <w:rFonts w:ascii="Times New Roman" w:eastAsia="Calibri" w:hAnsi="Times New Roman" w:cs="Times New Roman"/>
                <w:szCs w:val="24"/>
                <w:highlight w:val="yellow"/>
              </w:rPr>
            </w:pPr>
          </w:p>
        </w:tc>
      </w:tr>
      <w:tr w:rsidR="0087783D" w:rsidRPr="00600AFD" w14:paraId="35BAC506" w14:textId="77777777" w:rsidTr="00C55662">
        <w:tc>
          <w:tcPr>
            <w:tcW w:w="615" w:type="dxa"/>
            <w:vMerge w:val="restart"/>
            <w:shd w:val="clear" w:color="auto" w:fill="D9E2F3"/>
          </w:tcPr>
          <w:p w14:paraId="29EF2B50"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lastRenderedPageBreak/>
              <w:t>6</w:t>
            </w:r>
          </w:p>
        </w:tc>
        <w:tc>
          <w:tcPr>
            <w:tcW w:w="8735" w:type="dxa"/>
            <w:gridSpan w:val="2"/>
          </w:tcPr>
          <w:p w14:paraId="575D6A10" w14:textId="77777777" w:rsidR="0087783D" w:rsidRPr="00600AFD" w:rsidRDefault="0087783D" w:rsidP="00176DB8">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Continuously reduce the number of </w:t>
            </w:r>
            <w:r w:rsidR="00241BF7" w:rsidRPr="00600AFD">
              <w:rPr>
                <w:rFonts w:ascii="Times New Roman" w:eastAsia="Calibri" w:hAnsi="Times New Roman" w:cs="Times New Roman"/>
                <w:szCs w:val="24"/>
              </w:rPr>
              <w:t>pending</w:t>
            </w:r>
            <w:r w:rsidRPr="00600AFD">
              <w:rPr>
                <w:rFonts w:ascii="Times New Roman" w:eastAsia="Calibri" w:hAnsi="Times New Roman" w:cs="Times New Roman"/>
                <w:szCs w:val="24"/>
              </w:rPr>
              <w:t xml:space="preserve"> cases and backlog cases by monitoring and improving mechanisms aimed at reducing the </w:t>
            </w:r>
            <w:r w:rsidR="00241BF7" w:rsidRPr="00600AFD">
              <w:rPr>
                <w:rFonts w:ascii="Times New Roman" w:eastAsia="Calibri" w:hAnsi="Times New Roman" w:cs="Times New Roman"/>
                <w:szCs w:val="24"/>
              </w:rPr>
              <w:t xml:space="preserve">workload </w:t>
            </w:r>
            <w:r w:rsidRPr="00600AFD">
              <w:rPr>
                <w:rFonts w:ascii="Times New Roman" w:eastAsia="Calibri" w:hAnsi="Times New Roman" w:cs="Times New Roman"/>
                <w:szCs w:val="24"/>
              </w:rPr>
              <w:t>burden on the courts and by applying methods for alternative dispute resolution, and ensur</w:t>
            </w:r>
            <w:r w:rsidR="001160F8" w:rsidRPr="00600AFD">
              <w:rPr>
                <w:rFonts w:ascii="Times New Roman" w:eastAsia="Calibri" w:hAnsi="Times New Roman" w:cs="Times New Roman"/>
                <w:szCs w:val="24"/>
              </w:rPr>
              <w:t>ing</w:t>
            </w:r>
            <w:r w:rsidRPr="00600AFD">
              <w:rPr>
                <w:rFonts w:ascii="Times New Roman" w:eastAsia="Calibri" w:hAnsi="Times New Roman" w:cs="Times New Roman"/>
                <w:szCs w:val="24"/>
              </w:rPr>
              <w:t xml:space="preserve"> effective enforcement of court decisions by:</w:t>
            </w:r>
          </w:p>
        </w:tc>
      </w:tr>
      <w:tr w:rsidR="0087783D" w:rsidRPr="00600AFD" w14:paraId="7C5C74A4" w14:textId="77777777" w:rsidTr="00C55662">
        <w:tc>
          <w:tcPr>
            <w:tcW w:w="615" w:type="dxa"/>
            <w:vMerge/>
            <w:shd w:val="clear" w:color="auto" w:fill="D9E2F3"/>
          </w:tcPr>
          <w:p w14:paraId="59254F85"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07688114" w14:textId="77777777" w:rsidR="0087783D" w:rsidRPr="00600AFD" w:rsidRDefault="001160F8" w:rsidP="0087783D">
            <w:pPr>
              <w:spacing w:after="120" w:line="276" w:lineRule="auto"/>
              <w:contextualSpacing/>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.1</w:t>
            </w:r>
          </w:p>
        </w:tc>
        <w:tc>
          <w:tcPr>
            <w:tcW w:w="7812" w:type="dxa"/>
          </w:tcPr>
          <w:p w14:paraId="4F2C94FC" w14:textId="77777777" w:rsidR="0087783D" w:rsidRPr="00600AFD" w:rsidRDefault="001160F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Advancing </w:t>
            </w:r>
            <w:r w:rsidR="0087783D" w:rsidRPr="00600AFD">
              <w:rPr>
                <w:rFonts w:ascii="Times New Roman" w:eastAsia="Calibri" w:hAnsi="Times New Roman" w:cs="Times New Roman"/>
                <w:szCs w:val="24"/>
              </w:rPr>
              <w:t xml:space="preserve">measures to reduce the number of </w:t>
            </w:r>
            <w:r w:rsidR="00241BF7" w:rsidRPr="00600AFD">
              <w:rPr>
                <w:rFonts w:ascii="Times New Roman" w:eastAsia="Calibri" w:hAnsi="Times New Roman" w:cs="Times New Roman"/>
                <w:szCs w:val="24"/>
              </w:rPr>
              <w:t>pending</w:t>
            </w:r>
            <w:r w:rsidR="0087783D" w:rsidRPr="00600AFD">
              <w:rPr>
                <w:rFonts w:ascii="Times New Roman" w:eastAsia="Calibri" w:hAnsi="Times New Roman" w:cs="Times New Roman"/>
                <w:szCs w:val="24"/>
              </w:rPr>
              <w:t xml:space="preserve"> cases;</w:t>
            </w:r>
          </w:p>
        </w:tc>
      </w:tr>
      <w:tr w:rsidR="0087783D" w:rsidRPr="00600AFD" w14:paraId="0E8D5C53" w14:textId="77777777" w:rsidTr="00C55662">
        <w:tc>
          <w:tcPr>
            <w:tcW w:w="615" w:type="dxa"/>
            <w:vMerge/>
            <w:shd w:val="clear" w:color="auto" w:fill="D9E2F3"/>
          </w:tcPr>
          <w:p w14:paraId="01F3A367"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7AD06894"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.2</w:t>
            </w:r>
          </w:p>
        </w:tc>
        <w:tc>
          <w:tcPr>
            <w:tcW w:w="7812" w:type="dxa"/>
          </w:tcPr>
          <w:p w14:paraId="751AFA1C" w14:textId="77777777" w:rsidR="0087783D" w:rsidRDefault="001160F8" w:rsidP="0087783D">
            <w:pPr>
              <w:rPr>
                <w:rFonts w:ascii="Times New Roman" w:eastAsia="Calibri" w:hAnsi="Times New Roman" w:cs="Times New Roman"/>
                <w:szCs w:val="24"/>
              </w:rPr>
            </w:pPr>
            <w:r w:rsidRPr="00600AFD">
              <w:rPr>
                <w:rFonts w:ascii="Times New Roman" w:eastAsia="Calibri" w:hAnsi="Times New Roman" w:cs="Times New Roman"/>
                <w:szCs w:val="24"/>
              </w:rPr>
              <w:t xml:space="preserve">Advancing </w:t>
            </w:r>
            <w:r w:rsidR="0087783D" w:rsidRPr="00600AFD">
              <w:rPr>
                <w:rFonts w:ascii="Times New Roman" w:eastAsia="Calibri" w:hAnsi="Times New Roman" w:cs="Times New Roman"/>
                <w:szCs w:val="24"/>
              </w:rPr>
              <w:t>measures to reduce the number of backlog cases, especially those older than three years, counting from the date of submission of the initial act;</w:t>
            </w:r>
          </w:p>
          <w:p w14:paraId="2848DE85" w14:textId="3BA99DE4" w:rsidR="00D82920" w:rsidRPr="00600AFD" w:rsidRDefault="00D82920" w:rsidP="0087783D">
            <w:pPr>
              <w:rPr>
                <w:rFonts w:ascii="Times New Roman" w:eastAsia="Calibri" w:hAnsi="Times New Roman" w:cs="Times New Roman"/>
                <w:szCs w:val="24"/>
              </w:rPr>
            </w:pPr>
          </w:p>
        </w:tc>
      </w:tr>
      <w:tr w:rsidR="0087783D" w:rsidRPr="00600AFD" w14:paraId="63F5CB10" w14:textId="77777777" w:rsidTr="00C55662">
        <w:tc>
          <w:tcPr>
            <w:tcW w:w="615" w:type="dxa"/>
            <w:vMerge/>
            <w:shd w:val="clear" w:color="auto" w:fill="D9E2F3"/>
          </w:tcPr>
          <w:p w14:paraId="601BA4FB"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1F95204E" w14:textId="77777777" w:rsidR="0087783D" w:rsidRPr="00600AFD" w:rsidRDefault="001160F8" w:rsidP="0087783D">
            <w:pPr>
              <w:spacing w:line="276" w:lineRule="auto"/>
              <w:contextualSpacing/>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.3</w:t>
            </w:r>
          </w:p>
        </w:tc>
        <w:tc>
          <w:tcPr>
            <w:tcW w:w="7812" w:type="dxa"/>
          </w:tcPr>
          <w:p w14:paraId="37051220" w14:textId="77777777" w:rsidR="0087783D" w:rsidRPr="00600AFD" w:rsidRDefault="001160F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Advancing </w:t>
            </w:r>
            <w:r w:rsidR="0087783D" w:rsidRPr="00600AFD">
              <w:rPr>
                <w:rFonts w:ascii="Times New Roman" w:eastAsia="Calibri" w:hAnsi="Times New Roman" w:cs="Times New Roman"/>
                <w:szCs w:val="24"/>
              </w:rPr>
              <w:t>the efficiency of the work of the administrative judiciary through:</w:t>
            </w:r>
          </w:p>
          <w:p w14:paraId="58951B88" w14:textId="133BC7C2" w:rsidR="0087783D" w:rsidRPr="00600AFD" w:rsidRDefault="0087783D" w:rsidP="007B117D">
            <w:pPr>
              <w:numPr>
                <w:ilvl w:val="0"/>
                <w:numId w:val="23"/>
              </w:num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Amendments to the normative framework in order to introduce optimal organization of the administrative judiciary (</w:t>
            </w:r>
            <w:r w:rsidR="002E7EDE" w:rsidRPr="00600AFD">
              <w:rPr>
                <w:rFonts w:ascii="Times New Roman" w:eastAsia="Calibri" w:hAnsi="Times New Roman" w:cs="Times New Roman"/>
                <w:szCs w:val="24"/>
              </w:rPr>
              <w:t>introducing</w:t>
            </w:r>
            <w:r w:rsidRPr="00600AFD">
              <w:rPr>
                <w:rFonts w:ascii="Times New Roman" w:eastAsia="Calibri" w:hAnsi="Times New Roman" w:cs="Times New Roman"/>
                <w:szCs w:val="24"/>
              </w:rPr>
              <w:t xml:space="preserve"> a multi</w:t>
            </w:r>
            <w:r w:rsidR="000F3999">
              <w:rPr>
                <w:rFonts w:ascii="Times New Roman" w:eastAsia="Calibri" w:hAnsi="Times New Roman" w:cs="Times New Roman"/>
                <w:szCs w:val="24"/>
              </w:rPr>
              <w:t>–</w:t>
            </w:r>
            <w:r w:rsidRPr="00600AFD">
              <w:rPr>
                <w:rFonts w:ascii="Times New Roman" w:eastAsia="Calibri" w:hAnsi="Times New Roman" w:cs="Times New Roman"/>
                <w:szCs w:val="24"/>
              </w:rPr>
              <w:t xml:space="preserve">instance administrative judiciary and provision of specialization </w:t>
            </w:r>
            <w:r w:rsidR="00606E08" w:rsidRPr="00600AFD">
              <w:rPr>
                <w:rFonts w:ascii="Times New Roman" w:eastAsia="Calibri" w:hAnsi="Times New Roman" w:cs="Times New Roman"/>
                <w:szCs w:val="24"/>
              </w:rPr>
              <w:t>in various</w:t>
            </w:r>
            <w:r w:rsidRPr="00600AFD">
              <w:rPr>
                <w:rFonts w:ascii="Times New Roman" w:eastAsia="Calibri" w:hAnsi="Times New Roman" w:cs="Times New Roman"/>
                <w:szCs w:val="24"/>
              </w:rPr>
              <w:t xml:space="preserve"> administrative </w:t>
            </w:r>
            <w:r w:rsidR="00606E08" w:rsidRPr="00600AFD">
              <w:rPr>
                <w:rFonts w:ascii="Times New Roman" w:eastAsia="Calibri" w:hAnsi="Times New Roman" w:cs="Times New Roman"/>
                <w:szCs w:val="24"/>
              </w:rPr>
              <w:t>fields</w:t>
            </w:r>
            <w:r w:rsidRPr="00600AFD">
              <w:rPr>
                <w:rFonts w:ascii="Times New Roman" w:eastAsia="Calibri" w:hAnsi="Times New Roman" w:cs="Times New Roman"/>
                <w:szCs w:val="24"/>
              </w:rPr>
              <w:t>);</w:t>
            </w:r>
          </w:p>
          <w:p w14:paraId="6B4E1C4D" w14:textId="77777777" w:rsidR="0087783D" w:rsidRPr="00600AFD" w:rsidRDefault="0087783D" w:rsidP="007B117D">
            <w:pPr>
              <w:numPr>
                <w:ilvl w:val="0"/>
                <w:numId w:val="23"/>
              </w:num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Establishment of a new network of administrative courts (first instance and second instance/appellate administrative court) and strengthening the capacity of the administrative judiciary by appointing a </w:t>
            </w:r>
            <w:proofErr w:type="gramStart"/>
            <w:r w:rsidRPr="00600AFD">
              <w:rPr>
                <w:rFonts w:ascii="Times New Roman" w:eastAsia="Calibri" w:hAnsi="Times New Roman" w:cs="Times New Roman"/>
                <w:szCs w:val="24"/>
              </w:rPr>
              <w:t>required/sufficient number of</w:t>
            </w:r>
            <w:proofErr w:type="gramEnd"/>
            <w:r w:rsidRPr="00600AFD">
              <w:rPr>
                <w:rFonts w:ascii="Times New Roman" w:eastAsia="Calibri" w:hAnsi="Times New Roman" w:cs="Times New Roman"/>
                <w:szCs w:val="24"/>
              </w:rPr>
              <w:t xml:space="preserve"> judges;</w:t>
            </w:r>
          </w:p>
          <w:p w14:paraId="2EA0A564" w14:textId="77777777" w:rsidR="0087783D" w:rsidRPr="00600AFD" w:rsidRDefault="0087783D" w:rsidP="007B117D">
            <w:pPr>
              <w:numPr>
                <w:ilvl w:val="0"/>
                <w:numId w:val="23"/>
              </w:num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Adoption of the new Law on Administrative Disputes in accordance with the new organization of the administrative judiciary and new solutions contained in the Law on General Administrative Procedure;</w:t>
            </w:r>
          </w:p>
        </w:tc>
      </w:tr>
      <w:tr w:rsidR="0087783D" w:rsidRPr="00600AFD" w14:paraId="7AA9F4FD" w14:textId="77777777" w:rsidTr="00C55662">
        <w:tc>
          <w:tcPr>
            <w:tcW w:w="615" w:type="dxa"/>
            <w:vMerge/>
            <w:shd w:val="clear" w:color="auto" w:fill="D9E2F3"/>
          </w:tcPr>
          <w:p w14:paraId="677C0791"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1C3B2EF4"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.4</w:t>
            </w:r>
          </w:p>
        </w:tc>
        <w:tc>
          <w:tcPr>
            <w:tcW w:w="7812" w:type="dxa"/>
          </w:tcPr>
          <w:p w14:paraId="258501FC" w14:textId="77777777" w:rsidR="0087783D" w:rsidRPr="00600AFD" w:rsidRDefault="001160F8" w:rsidP="0087783D">
            <w:pPr>
              <w:spacing w:after="120"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Advancement of</w:t>
            </w:r>
            <w:r w:rsidR="0087783D" w:rsidRPr="00600AFD">
              <w:rPr>
                <w:rFonts w:ascii="Times New Roman" w:eastAsia="Calibri" w:hAnsi="Times New Roman" w:cs="Times New Roman"/>
                <w:szCs w:val="24"/>
              </w:rPr>
              <w:t xml:space="preserve"> the efficiency of the work of commercial courts with the aim of improving the stability of business environment, while reducing the number of insolvency cases;</w:t>
            </w:r>
          </w:p>
        </w:tc>
      </w:tr>
      <w:tr w:rsidR="0087783D" w:rsidRPr="00600AFD" w14:paraId="6E07CFBC" w14:textId="77777777" w:rsidTr="00C55662">
        <w:tc>
          <w:tcPr>
            <w:tcW w:w="615" w:type="dxa"/>
            <w:vMerge/>
            <w:shd w:val="clear" w:color="auto" w:fill="D9E2F3"/>
          </w:tcPr>
          <w:p w14:paraId="652882F2"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5E3473A0"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.5</w:t>
            </w:r>
          </w:p>
        </w:tc>
        <w:tc>
          <w:tcPr>
            <w:tcW w:w="7812" w:type="dxa"/>
          </w:tcPr>
          <w:p w14:paraId="1D44A8AE" w14:textId="6DAC00A8" w:rsidR="0087783D" w:rsidRPr="00600AFD" w:rsidRDefault="001160F8" w:rsidP="0087783D">
            <w:pPr>
              <w:spacing w:after="120"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Advancement of</w:t>
            </w:r>
            <w:r w:rsidR="0087783D" w:rsidRPr="00600AFD">
              <w:rPr>
                <w:rFonts w:ascii="Times New Roman" w:eastAsia="Calibri" w:hAnsi="Times New Roman" w:cs="Times New Roman"/>
                <w:szCs w:val="24"/>
              </w:rPr>
              <w:t xml:space="preserve"> the service </w:t>
            </w:r>
            <w:r w:rsidRPr="00600AFD">
              <w:rPr>
                <w:rFonts w:ascii="Times New Roman" w:eastAsia="Calibri" w:hAnsi="Times New Roman" w:cs="Times New Roman"/>
                <w:szCs w:val="24"/>
              </w:rPr>
              <w:t xml:space="preserve">of </w:t>
            </w:r>
            <w:r w:rsidR="00407CFE" w:rsidRPr="00600AFD">
              <w:rPr>
                <w:rFonts w:ascii="Times New Roman" w:eastAsia="Calibri" w:hAnsi="Times New Roman" w:cs="Times New Roman"/>
                <w:szCs w:val="24"/>
              </w:rPr>
              <w:t xml:space="preserve">process </w:t>
            </w:r>
            <w:r w:rsidR="0087783D" w:rsidRPr="00600AFD">
              <w:rPr>
                <w:rFonts w:ascii="Times New Roman" w:eastAsia="Calibri" w:hAnsi="Times New Roman" w:cs="Times New Roman"/>
                <w:szCs w:val="24"/>
              </w:rPr>
              <w:t>system;</w:t>
            </w:r>
          </w:p>
        </w:tc>
      </w:tr>
      <w:tr w:rsidR="0087783D" w:rsidRPr="00600AFD" w14:paraId="379CD248" w14:textId="77777777" w:rsidTr="00C55662">
        <w:tc>
          <w:tcPr>
            <w:tcW w:w="615" w:type="dxa"/>
            <w:vMerge/>
            <w:shd w:val="clear" w:color="auto" w:fill="D9E2F3"/>
          </w:tcPr>
          <w:p w14:paraId="3CB945CD"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2AB78F88"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.6</w:t>
            </w:r>
          </w:p>
        </w:tc>
        <w:tc>
          <w:tcPr>
            <w:tcW w:w="7812" w:type="dxa"/>
          </w:tcPr>
          <w:p w14:paraId="5F0A27E0" w14:textId="77777777" w:rsidR="0087783D" w:rsidRPr="00600AFD" w:rsidRDefault="0087783D" w:rsidP="00176DB8">
            <w:pPr>
              <w:spacing w:after="120"/>
              <w:jc w:val="left"/>
              <w:rPr>
                <w:rFonts w:ascii="Times New Roman" w:eastAsia="Calibri" w:hAnsi="Times New Roman" w:cs="Times New Roman"/>
                <w:szCs w:val="24"/>
              </w:rPr>
            </w:pPr>
            <w:r w:rsidRPr="00600AFD">
              <w:rPr>
                <w:rFonts w:ascii="Times New Roman" w:eastAsia="Calibri" w:hAnsi="Times New Roman" w:cs="Times New Roman"/>
                <w:szCs w:val="24"/>
              </w:rPr>
              <w:t>Further develop</w:t>
            </w:r>
            <w:r w:rsidR="001160F8" w:rsidRPr="00600AFD">
              <w:rPr>
                <w:rFonts w:ascii="Times New Roman" w:eastAsia="Calibri" w:hAnsi="Times New Roman" w:cs="Times New Roman"/>
                <w:szCs w:val="24"/>
              </w:rPr>
              <w:t>ment of</w:t>
            </w:r>
            <w:r w:rsidRPr="00600AFD">
              <w:rPr>
                <w:rFonts w:ascii="Times New Roman" w:eastAsia="Calibri" w:hAnsi="Times New Roman" w:cs="Times New Roman"/>
                <w:szCs w:val="24"/>
              </w:rPr>
              <w:t xml:space="preserve"> the system of alternative dispute resolution through:</w:t>
            </w:r>
          </w:p>
          <w:p w14:paraId="23A8A38E" w14:textId="77777777" w:rsidR="0087783D" w:rsidRPr="00600AFD" w:rsidRDefault="0087783D" w:rsidP="007B117D">
            <w:pPr>
              <w:numPr>
                <w:ilvl w:val="0"/>
                <w:numId w:val="24"/>
              </w:num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Conclusion of settlements in cases where the State Attorney’s Office is representing the Republic of Serbia;</w:t>
            </w:r>
          </w:p>
          <w:p w14:paraId="179736A3" w14:textId="0CF3E4DA" w:rsidR="0087783D" w:rsidRPr="00600AFD" w:rsidRDefault="00FA54B7" w:rsidP="007B117D">
            <w:pPr>
              <w:numPr>
                <w:ilvl w:val="0"/>
                <w:numId w:val="24"/>
              </w:num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Improvement of m</w:t>
            </w:r>
            <w:r w:rsidR="0087783D" w:rsidRPr="00600AFD">
              <w:rPr>
                <w:rFonts w:ascii="Times New Roman" w:eastAsia="Calibri" w:hAnsi="Times New Roman" w:cs="Times New Roman"/>
                <w:szCs w:val="24"/>
              </w:rPr>
              <w:t>ediation</w:t>
            </w:r>
            <w:r w:rsidRPr="00600AFD">
              <w:rPr>
                <w:rFonts w:ascii="Times New Roman" w:eastAsia="Calibri" w:hAnsi="Times New Roman" w:cs="Times New Roman"/>
                <w:szCs w:val="24"/>
              </w:rPr>
              <w:t xml:space="preserve"> application</w:t>
            </w:r>
            <w:r w:rsidR="0087783D" w:rsidRPr="00600AFD">
              <w:rPr>
                <w:rFonts w:ascii="Times New Roman" w:eastAsia="Calibri" w:hAnsi="Times New Roman" w:cs="Times New Roman"/>
                <w:szCs w:val="24"/>
              </w:rPr>
              <w:t>;</w:t>
            </w:r>
          </w:p>
          <w:p w14:paraId="1F17B999" w14:textId="25AEE367" w:rsidR="0087783D" w:rsidRPr="00600AFD" w:rsidRDefault="00EE47B0" w:rsidP="007B117D">
            <w:pPr>
              <w:numPr>
                <w:ilvl w:val="0"/>
                <w:numId w:val="24"/>
              </w:num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I</w:t>
            </w:r>
            <w:r w:rsidR="004833F9" w:rsidRPr="00600AFD">
              <w:rPr>
                <w:rFonts w:ascii="Times New Roman" w:eastAsia="Calibri" w:hAnsi="Times New Roman" w:cs="Times New Roman"/>
                <w:szCs w:val="24"/>
              </w:rPr>
              <w:t xml:space="preserve">nstitute </w:t>
            </w:r>
            <w:r w:rsidRPr="00600AFD">
              <w:rPr>
                <w:rFonts w:ascii="Times New Roman" w:eastAsia="Calibri" w:hAnsi="Times New Roman" w:cs="Times New Roman"/>
                <w:szCs w:val="24"/>
              </w:rPr>
              <w:t>of deferring</w:t>
            </w:r>
            <w:r w:rsidR="0087783D" w:rsidRPr="00600AFD">
              <w:rPr>
                <w:rFonts w:ascii="Times New Roman" w:eastAsia="Calibri" w:hAnsi="Times New Roman" w:cs="Times New Roman"/>
                <w:szCs w:val="24"/>
              </w:rPr>
              <w:t xml:space="preserve"> criminal prosecution;</w:t>
            </w:r>
          </w:p>
          <w:p w14:paraId="6C37E6C4" w14:textId="77777777" w:rsidR="001160F8" w:rsidRPr="00600AFD" w:rsidRDefault="004A5C2E" w:rsidP="007B117D">
            <w:pPr>
              <w:numPr>
                <w:ilvl w:val="0"/>
                <w:numId w:val="24"/>
              </w:num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Broadening the scope of application of</w:t>
            </w:r>
            <w:r w:rsidR="001160F8" w:rsidRPr="00600AFD">
              <w:rPr>
                <w:rFonts w:ascii="Times New Roman" w:eastAsia="Calibri" w:hAnsi="Times New Roman" w:cs="Times New Roman"/>
                <w:szCs w:val="24"/>
              </w:rPr>
              <w:t xml:space="preserve"> the </w:t>
            </w:r>
            <w:r w:rsidRPr="00600AFD">
              <w:rPr>
                <w:rFonts w:ascii="Times New Roman" w:eastAsia="Calibri" w:hAnsi="Times New Roman" w:cs="Times New Roman"/>
                <w:szCs w:val="24"/>
              </w:rPr>
              <w:t xml:space="preserve">misdemeanor plea </w:t>
            </w:r>
            <w:r w:rsidR="001160F8" w:rsidRPr="00600AFD">
              <w:rPr>
                <w:rFonts w:ascii="Times New Roman" w:eastAsia="Calibri" w:hAnsi="Times New Roman" w:cs="Times New Roman"/>
                <w:szCs w:val="24"/>
              </w:rPr>
              <w:t>agreement</w:t>
            </w:r>
          </w:p>
        </w:tc>
      </w:tr>
      <w:tr w:rsidR="0087783D" w:rsidRPr="00600AFD" w14:paraId="6FD2BD3A" w14:textId="77777777" w:rsidTr="00C55662">
        <w:tc>
          <w:tcPr>
            <w:tcW w:w="615" w:type="dxa"/>
            <w:vMerge/>
            <w:shd w:val="clear" w:color="auto" w:fill="D9E2F3"/>
          </w:tcPr>
          <w:p w14:paraId="163BEF59"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1459DEFC"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.7</w:t>
            </w:r>
          </w:p>
        </w:tc>
        <w:tc>
          <w:tcPr>
            <w:tcW w:w="7812" w:type="dxa"/>
          </w:tcPr>
          <w:p w14:paraId="56CC1F1F" w14:textId="77777777" w:rsidR="0087783D" w:rsidRPr="00600AFD" w:rsidRDefault="001160F8"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Advancement of </w:t>
            </w:r>
            <w:r w:rsidR="0087783D" w:rsidRPr="00600AFD">
              <w:rPr>
                <w:rFonts w:ascii="Times New Roman" w:eastAsia="Calibri" w:hAnsi="Times New Roman" w:cs="Times New Roman"/>
                <w:szCs w:val="24"/>
              </w:rPr>
              <w:t>the efficiency of collection of misdemeanor fines</w:t>
            </w:r>
            <w:r w:rsidRPr="00600AFD">
              <w:rPr>
                <w:rFonts w:ascii="Times New Roman" w:eastAsia="Calibri" w:hAnsi="Times New Roman" w:cs="Times New Roman"/>
                <w:szCs w:val="24"/>
              </w:rPr>
              <w:t xml:space="preserve"> and court proceedings’ costs</w:t>
            </w:r>
            <w:r w:rsidR="0087783D" w:rsidRPr="00600AFD">
              <w:rPr>
                <w:rFonts w:ascii="Times New Roman" w:eastAsia="Calibri" w:hAnsi="Times New Roman" w:cs="Times New Roman"/>
                <w:szCs w:val="24"/>
              </w:rPr>
              <w:t>;</w:t>
            </w:r>
          </w:p>
        </w:tc>
      </w:tr>
      <w:tr w:rsidR="0087783D" w:rsidRPr="00600AFD" w14:paraId="372D0DD6" w14:textId="77777777" w:rsidTr="00C55662">
        <w:tc>
          <w:tcPr>
            <w:tcW w:w="615" w:type="dxa"/>
            <w:vMerge/>
            <w:shd w:val="clear" w:color="auto" w:fill="D9E2F3"/>
          </w:tcPr>
          <w:p w14:paraId="02B25987"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0F214279"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.8</w:t>
            </w:r>
          </w:p>
        </w:tc>
        <w:tc>
          <w:tcPr>
            <w:tcW w:w="7812" w:type="dxa"/>
          </w:tcPr>
          <w:p w14:paraId="09FFD8CE" w14:textId="77777777" w:rsidR="0087783D" w:rsidRPr="00600AFD" w:rsidRDefault="001160F8" w:rsidP="0087783D">
            <w:pPr>
              <w:rPr>
                <w:rFonts w:ascii="Times New Roman" w:eastAsia="Calibri" w:hAnsi="Times New Roman" w:cs="Times New Roman"/>
                <w:szCs w:val="24"/>
              </w:rPr>
            </w:pPr>
            <w:r w:rsidRPr="00600AFD">
              <w:rPr>
                <w:rFonts w:ascii="Times New Roman" w:eastAsia="Calibri" w:hAnsi="Times New Roman" w:cs="Times New Roman"/>
                <w:szCs w:val="24"/>
              </w:rPr>
              <w:t xml:space="preserve">Advancement of </w:t>
            </w:r>
            <w:r w:rsidR="0087783D" w:rsidRPr="00600AFD">
              <w:rPr>
                <w:rFonts w:ascii="Times New Roman" w:eastAsia="Calibri" w:hAnsi="Times New Roman" w:cs="Times New Roman"/>
                <w:szCs w:val="24"/>
              </w:rPr>
              <w:t>the court fees collection system;</w:t>
            </w:r>
          </w:p>
        </w:tc>
      </w:tr>
      <w:tr w:rsidR="0087783D" w:rsidRPr="00600AFD" w14:paraId="5BFF1122" w14:textId="77777777" w:rsidTr="00C55662">
        <w:tc>
          <w:tcPr>
            <w:tcW w:w="615" w:type="dxa"/>
            <w:vMerge/>
            <w:shd w:val="clear" w:color="auto" w:fill="D9E2F3"/>
          </w:tcPr>
          <w:p w14:paraId="56788AA8"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696C268C"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.9</w:t>
            </w:r>
          </w:p>
        </w:tc>
        <w:tc>
          <w:tcPr>
            <w:tcW w:w="7812" w:type="dxa"/>
          </w:tcPr>
          <w:p w14:paraId="750FA8B1" w14:textId="77777777" w:rsidR="0087783D" w:rsidRPr="00600AFD" w:rsidRDefault="001160F8" w:rsidP="0049162F">
            <w:pPr>
              <w:spacing w:after="120"/>
              <w:rPr>
                <w:rFonts w:ascii="Times New Roman" w:eastAsia="Calibri" w:hAnsi="Times New Roman" w:cs="Times New Roman"/>
                <w:szCs w:val="24"/>
              </w:rPr>
            </w:pPr>
            <w:r w:rsidRPr="00600AFD">
              <w:rPr>
                <w:rFonts w:ascii="Times New Roman" w:eastAsia="Calibri" w:hAnsi="Times New Roman" w:cs="Times New Roman"/>
                <w:szCs w:val="24"/>
              </w:rPr>
              <w:t xml:space="preserve">Advancement of </w:t>
            </w:r>
            <w:r w:rsidR="0087783D" w:rsidRPr="00600AFD">
              <w:rPr>
                <w:rFonts w:ascii="Times New Roman" w:eastAsia="Calibri" w:hAnsi="Times New Roman" w:cs="Times New Roman"/>
                <w:szCs w:val="24"/>
              </w:rPr>
              <w:t>measures for resolving enforcement cases by:</w:t>
            </w:r>
          </w:p>
          <w:p w14:paraId="74C7745A" w14:textId="77777777" w:rsidR="0087783D" w:rsidRPr="00600AFD" w:rsidRDefault="0087783D" w:rsidP="0087783D">
            <w:pPr>
              <w:numPr>
                <w:ilvl w:val="0"/>
                <w:numId w:val="25"/>
              </w:numPr>
              <w:spacing w:after="120" w:line="276" w:lineRule="auto"/>
              <w:jc w:val="left"/>
              <w:rPr>
                <w:rFonts w:ascii="Times New Roman" w:eastAsia="Calibri" w:hAnsi="Times New Roman" w:cs="Times New Roman"/>
                <w:szCs w:val="24"/>
              </w:rPr>
            </w:pPr>
            <w:r w:rsidRPr="00600AFD">
              <w:rPr>
                <w:rFonts w:ascii="Times New Roman" w:eastAsia="Calibri" w:hAnsi="Times New Roman" w:cs="Times New Roman"/>
                <w:szCs w:val="24"/>
              </w:rPr>
              <w:t xml:space="preserve">Improving the work of </w:t>
            </w:r>
            <w:r w:rsidR="00654C03" w:rsidRPr="00600AFD">
              <w:rPr>
                <w:rFonts w:ascii="Times New Roman" w:eastAsia="Calibri" w:hAnsi="Times New Roman" w:cs="Times New Roman"/>
                <w:szCs w:val="24"/>
              </w:rPr>
              <w:t>public enforcement officers</w:t>
            </w:r>
            <w:r w:rsidRPr="00600AFD">
              <w:rPr>
                <w:rFonts w:ascii="Times New Roman" w:eastAsia="Calibri" w:hAnsi="Times New Roman" w:cs="Times New Roman"/>
                <w:szCs w:val="24"/>
              </w:rPr>
              <w:t>,</w:t>
            </w:r>
          </w:p>
          <w:p w14:paraId="22C789D2" w14:textId="77777777" w:rsidR="0087783D" w:rsidRPr="00600AFD" w:rsidRDefault="0087783D" w:rsidP="0087783D">
            <w:pPr>
              <w:numPr>
                <w:ilvl w:val="0"/>
                <w:numId w:val="25"/>
              </w:numPr>
              <w:spacing w:after="120" w:line="276" w:lineRule="auto"/>
              <w:jc w:val="left"/>
              <w:rPr>
                <w:rFonts w:ascii="Times New Roman" w:eastAsia="Calibri" w:hAnsi="Times New Roman" w:cs="Times New Roman"/>
                <w:szCs w:val="24"/>
              </w:rPr>
            </w:pPr>
            <w:r w:rsidRPr="00600AFD">
              <w:rPr>
                <w:rFonts w:ascii="Times New Roman" w:eastAsia="Calibri" w:hAnsi="Times New Roman" w:cs="Times New Roman"/>
                <w:szCs w:val="24"/>
              </w:rPr>
              <w:lastRenderedPageBreak/>
              <w:t>Improving the system of court enforcement;</w:t>
            </w:r>
          </w:p>
        </w:tc>
      </w:tr>
      <w:tr w:rsidR="0087783D" w:rsidRPr="00600AFD" w14:paraId="58412A1E" w14:textId="77777777" w:rsidTr="00C55662">
        <w:tc>
          <w:tcPr>
            <w:tcW w:w="615" w:type="dxa"/>
            <w:vMerge/>
            <w:shd w:val="clear" w:color="auto" w:fill="D9E2F3"/>
          </w:tcPr>
          <w:p w14:paraId="63412901"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55CEFB88"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.10</w:t>
            </w:r>
          </w:p>
        </w:tc>
        <w:tc>
          <w:tcPr>
            <w:tcW w:w="7812" w:type="dxa"/>
          </w:tcPr>
          <w:p w14:paraId="00946707" w14:textId="77777777" w:rsidR="0087783D" w:rsidRPr="00600AFD" w:rsidRDefault="001160F8" w:rsidP="0087783D">
            <w:pPr>
              <w:jc w:val="left"/>
              <w:rPr>
                <w:rFonts w:ascii="Times New Roman" w:eastAsia="Calibri" w:hAnsi="Times New Roman" w:cs="Times New Roman"/>
                <w:szCs w:val="24"/>
              </w:rPr>
            </w:pPr>
            <w:r w:rsidRPr="00600AFD">
              <w:rPr>
                <w:rFonts w:ascii="Times New Roman" w:eastAsia="Calibri" w:hAnsi="Times New Roman" w:cs="Times New Roman"/>
                <w:szCs w:val="24"/>
              </w:rPr>
              <w:t>Advancement of</w:t>
            </w:r>
            <w:r w:rsidR="0087783D" w:rsidRPr="00600AFD">
              <w:rPr>
                <w:rFonts w:ascii="Times New Roman" w:eastAsia="Calibri" w:hAnsi="Times New Roman" w:cs="Times New Roman"/>
                <w:szCs w:val="24"/>
              </w:rPr>
              <w:t xml:space="preserve"> the system of notaries </w:t>
            </w:r>
            <w:r w:rsidR="00241BF7" w:rsidRPr="00600AFD">
              <w:rPr>
                <w:rFonts w:ascii="Times New Roman" w:eastAsia="Calibri" w:hAnsi="Times New Roman" w:cs="Times New Roman"/>
                <w:szCs w:val="24"/>
              </w:rPr>
              <w:t xml:space="preserve">public </w:t>
            </w:r>
            <w:r w:rsidR="0087783D" w:rsidRPr="00600AFD">
              <w:rPr>
                <w:rFonts w:ascii="Times New Roman" w:eastAsia="Calibri" w:hAnsi="Times New Roman" w:cs="Times New Roman"/>
                <w:szCs w:val="24"/>
              </w:rPr>
              <w:t xml:space="preserve">and </w:t>
            </w:r>
            <w:r w:rsidR="00654C03" w:rsidRPr="00600AFD">
              <w:rPr>
                <w:rFonts w:ascii="Times New Roman" w:eastAsia="Calibri" w:hAnsi="Times New Roman" w:cs="Times New Roman"/>
                <w:szCs w:val="24"/>
              </w:rPr>
              <w:t>public enforcement officers</w:t>
            </w:r>
            <w:r w:rsidR="0087783D" w:rsidRPr="00600AFD">
              <w:rPr>
                <w:rFonts w:ascii="Times New Roman" w:eastAsia="Calibri" w:hAnsi="Times New Roman" w:cs="Times New Roman"/>
                <w:szCs w:val="24"/>
              </w:rPr>
              <w:t>;</w:t>
            </w:r>
          </w:p>
        </w:tc>
      </w:tr>
      <w:tr w:rsidR="0087783D" w:rsidRPr="00600AFD" w14:paraId="5982A19F" w14:textId="77777777" w:rsidTr="00C55662">
        <w:tc>
          <w:tcPr>
            <w:tcW w:w="615" w:type="dxa"/>
            <w:vMerge/>
            <w:shd w:val="clear" w:color="auto" w:fill="D9E2F3"/>
          </w:tcPr>
          <w:p w14:paraId="56F9B20A" w14:textId="77777777" w:rsidR="0087783D" w:rsidRPr="00600AFD" w:rsidRDefault="0087783D" w:rsidP="0087783D">
            <w:pPr>
              <w:spacing w:after="120" w:line="276" w:lineRule="auto"/>
              <w:rPr>
                <w:rFonts w:ascii="Times New Roman" w:eastAsia="Calibri" w:hAnsi="Times New Roman" w:cs="Times New Roman"/>
                <w:szCs w:val="24"/>
                <w:highlight w:val="yellow"/>
              </w:rPr>
            </w:pPr>
          </w:p>
        </w:tc>
        <w:tc>
          <w:tcPr>
            <w:tcW w:w="923" w:type="dxa"/>
          </w:tcPr>
          <w:p w14:paraId="44301993" w14:textId="77777777" w:rsidR="0087783D" w:rsidRPr="00600AFD" w:rsidRDefault="001160F8" w:rsidP="0087783D">
            <w:pPr>
              <w:spacing w:after="120" w:line="276" w:lineRule="auto"/>
              <w:jc w:val="center"/>
              <w:rPr>
                <w:rFonts w:ascii="Times New Roman" w:eastAsia="Calibri" w:hAnsi="Times New Roman" w:cs="Times New Roman"/>
                <w:szCs w:val="24"/>
              </w:rPr>
            </w:pPr>
            <w:r w:rsidRPr="00600AFD">
              <w:rPr>
                <w:rFonts w:ascii="Times New Roman" w:eastAsia="Calibri" w:hAnsi="Times New Roman" w:cs="Times New Roman"/>
                <w:szCs w:val="24"/>
              </w:rPr>
              <w:t>6</w:t>
            </w:r>
            <w:r w:rsidR="0087783D" w:rsidRPr="00600AFD">
              <w:rPr>
                <w:rFonts w:ascii="Times New Roman" w:eastAsia="Calibri" w:hAnsi="Times New Roman" w:cs="Times New Roman"/>
                <w:szCs w:val="24"/>
              </w:rPr>
              <w:t>.11</w:t>
            </w:r>
          </w:p>
        </w:tc>
        <w:tc>
          <w:tcPr>
            <w:tcW w:w="7812" w:type="dxa"/>
          </w:tcPr>
          <w:p w14:paraId="0452047B" w14:textId="77777777" w:rsidR="0087783D" w:rsidRPr="00600AFD" w:rsidRDefault="001160F8"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Advancement of </w:t>
            </w:r>
            <w:r w:rsidR="0087783D" w:rsidRPr="00600AFD">
              <w:rPr>
                <w:rFonts w:ascii="Times New Roman" w:eastAsia="Calibri" w:hAnsi="Times New Roman" w:cs="Times New Roman"/>
                <w:szCs w:val="24"/>
              </w:rPr>
              <w:t>the work of expert witnesses and court interpreters and translators;</w:t>
            </w:r>
          </w:p>
        </w:tc>
      </w:tr>
      <w:tr w:rsidR="0087783D" w:rsidRPr="00600AFD" w14:paraId="4371216D" w14:textId="77777777" w:rsidTr="00C55662">
        <w:tc>
          <w:tcPr>
            <w:tcW w:w="615" w:type="dxa"/>
            <w:shd w:val="clear" w:color="auto" w:fill="D9E2F3"/>
          </w:tcPr>
          <w:p w14:paraId="037F40C9" w14:textId="77777777" w:rsidR="0087783D" w:rsidRPr="00600AFD" w:rsidRDefault="001160F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7</w:t>
            </w:r>
            <w:r w:rsidR="0087783D" w:rsidRPr="00600AFD">
              <w:rPr>
                <w:rFonts w:ascii="Times New Roman" w:eastAsia="Calibri" w:hAnsi="Times New Roman" w:cs="Times New Roman"/>
                <w:szCs w:val="24"/>
              </w:rPr>
              <w:t>.</w:t>
            </w:r>
          </w:p>
        </w:tc>
        <w:tc>
          <w:tcPr>
            <w:tcW w:w="8735" w:type="dxa"/>
            <w:gridSpan w:val="2"/>
          </w:tcPr>
          <w:p w14:paraId="43E50156" w14:textId="77777777" w:rsidR="0087783D" w:rsidRPr="00600AFD" w:rsidRDefault="0087783D" w:rsidP="0049162F">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t xml:space="preserve">Continuous </w:t>
            </w:r>
            <w:r w:rsidR="001160F8" w:rsidRPr="00600AFD">
              <w:rPr>
                <w:rFonts w:ascii="Times New Roman" w:eastAsia="Calibri" w:hAnsi="Times New Roman" w:cs="Times New Roman"/>
                <w:szCs w:val="24"/>
              </w:rPr>
              <w:t>advance</w:t>
            </w:r>
            <w:r w:rsidR="00A17E8E" w:rsidRPr="00600AFD">
              <w:rPr>
                <w:rFonts w:ascii="Times New Roman" w:eastAsia="Calibri" w:hAnsi="Times New Roman" w:cs="Times New Roman"/>
                <w:szCs w:val="24"/>
              </w:rPr>
              <w:t>ment of</w:t>
            </w:r>
            <w:r w:rsidR="001160F8" w:rsidRPr="00600AFD">
              <w:rPr>
                <w:rFonts w:ascii="Times New Roman" w:eastAsia="Calibri" w:hAnsi="Times New Roman" w:cs="Times New Roman"/>
                <w:szCs w:val="24"/>
              </w:rPr>
              <w:t xml:space="preserve"> </w:t>
            </w:r>
            <w:r w:rsidRPr="00600AFD">
              <w:rPr>
                <w:rFonts w:ascii="Times New Roman" w:eastAsia="Calibri" w:hAnsi="Times New Roman" w:cs="Times New Roman"/>
                <w:szCs w:val="24"/>
              </w:rPr>
              <w:t xml:space="preserve">the mechanisms for harmonization of </w:t>
            </w:r>
            <w:r w:rsidR="00241BF7" w:rsidRPr="00600AFD">
              <w:rPr>
                <w:rFonts w:ascii="Times New Roman" w:eastAsia="Calibri" w:hAnsi="Times New Roman" w:cs="Times New Roman"/>
                <w:szCs w:val="24"/>
              </w:rPr>
              <w:t>case law</w:t>
            </w:r>
            <w:r w:rsidRPr="00600AFD">
              <w:rPr>
                <w:rFonts w:ascii="Times New Roman" w:eastAsia="Calibri" w:hAnsi="Times New Roman" w:cs="Times New Roman"/>
                <w:szCs w:val="24"/>
              </w:rPr>
              <w:t xml:space="preserve"> by implementing the measures defined in the Plan </w:t>
            </w:r>
            <w:r w:rsidR="00A17E8E" w:rsidRPr="00600AFD">
              <w:rPr>
                <w:rFonts w:ascii="Times New Roman" w:eastAsia="Calibri" w:hAnsi="Times New Roman" w:cs="Times New Roman"/>
                <w:szCs w:val="24"/>
              </w:rPr>
              <w:t xml:space="preserve">of Activities </w:t>
            </w:r>
            <w:r w:rsidRPr="00600AFD">
              <w:rPr>
                <w:rFonts w:ascii="Times New Roman" w:eastAsia="Calibri" w:hAnsi="Times New Roman" w:cs="Times New Roman"/>
                <w:szCs w:val="24"/>
              </w:rPr>
              <w:t xml:space="preserve">of the Supreme Court of Cassation for the Harmonization of </w:t>
            </w:r>
            <w:r w:rsidR="0049162F" w:rsidRPr="00600AFD">
              <w:rPr>
                <w:rFonts w:ascii="Times New Roman" w:eastAsia="Calibri" w:hAnsi="Times New Roman" w:cs="Times New Roman"/>
                <w:szCs w:val="24"/>
              </w:rPr>
              <w:t>Case Law</w:t>
            </w:r>
            <w:r w:rsidRPr="00600AFD">
              <w:rPr>
                <w:rFonts w:ascii="Times New Roman" w:eastAsia="Calibri" w:hAnsi="Times New Roman" w:cs="Times New Roman"/>
                <w:szCs w:val="24"/>
              </w:rPr>
              <w:t xml:space="preserve"> and by expanding the competencies of the Supreme Court of Cassation in the procedure involving regular </w:t>
            </w:r>
            <w:r w:rsidR="00A17E8E" w:rsidRPr="00600AFD">
              <w:rPr>
                <w:rFonts w:ascii="Times New Roman" w:eastAsia="Calibri" w:hAnsi="Times New Roman" w:cs="Times New Roman"/>
                <w:szCs w:val="24"/>
              </w:rPr>
              <w:t xml:space="preserve">legal </w:t>
            </w:r>
            <w:r w:rsidRPr="00600AFD">
              <w:rPr>
                <w:rFonts w:ascii="Times New Roman" w:eastAsia="Calibri" w:hAnsi="Times New Roman" w:cs="Times New Roman"/>
                <w:szCs w:val="24"/>
              </w:rPr>
              <w:t>remedies</w:t>
            </w:r>
            <w:r w:rsidR="00A17E8E" w:rsidRPr="00600AFD">
              <w:rPr>
                <w:rFonts w:ascii="Times New Roman" w:eastAsia="Calibri" w:hAnsi="Times New Roman" w:cs="Times New Roman"/>
                <w:szCs w:val="24"/>
              </w:rPr>
              <w:t>, which entails the strengthening of this court’s capacities</w:t>
            </w:r>
            <w:r w:rsidR="004A5C2E" w:rsidRPr="00600AFD">
              <w:rPr>
                <w:rFonts w:ascii="Times New Roman" w:eastAsia="Calibri" w:hAnsi="Times New Roman" w:cs="Times New Roman"/>
                <w:szCs w:val="24"/>
              </w:rPr>
              <w:t>,</w:t>
            </w:r>
            <w:r w:rsidR="00A17E8E" w:rsidRPr="00600AFD">
              <w:rPr>
                <w:rFonts w:ascii="Times New Roman" w:eastAsia="Calibri" w:hAnsi="Times New Roman" w:cs="Times New Roman"/>
                <w:szCs w:val="24"/>
              </w:rPr>
              <w:t xml:space="preserve"> and amendments and addenda to the applicable legislative framework for the purpose of harmonization with the new </w:t>
            </w:r>
            <w:r w:rsidR="00B349FF" w:rsidRPr="00600AFD">
              <w:rPr>
                <w:rFonts w:ascii="Times New Roman" w:eastAsia="Calibri" w:hAnsi="Times New Roman" w:cs="Times New Roman"/>
                <w:szCs w:val="24"/>
              </w:rPr>
              <w:t>constitutional</w:t>
            </w:r>
            <w:r w:rsidR="00A17E8E" w:rsidRPr="00600AFD">
              <w:rPr>
                <w:rFonts w:ascii="Times New Roman" w:eastAsia="Calibri" w:hAnsi="Times New Roman" w:cs="Times New Roman"/>
                <w:szCs w:val="24"/>
              </w:rPr>
              <w:t xml:space="preserve"> solutions</w:t>
            </w:r>
            <w:r w:rsidRPr="00600AFD">
              <w:rPr>
                <w:rFonts w:ascii="Times New Roman" w:eastAsia="Calibri" w:hAnsi="Times New Roman" w:cs="Times New Roman"/>
                <w:szCs w:val="24"/>
              </w:rPr>
              <w:t>;</w:t>
            </w:r>
          </w:p>
        </w:tc>
      </w:tr>
      <w:tr w:rsidR="0087783D" w:rsidRPr="00600AFD" w14:paraId="4248D9E2" w14:textId="77777777" w:rsidTr="00C55662">
        <w:tc>
          <w:tcPr>
            <w:tcW w:w="615" w:type="dxa"/>
            <w:shd w:val="clear" w:color="auto" w:fill="D9E2F3"/>
          </w:tcPr>
          <w:p w14:paraId="661C1CA0" w14:textId="77777777" w:rsidR="0087783D" w:rsidRPr="00600AFD" w:rsidRDefault="001160F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8</w:t>
            </w:r>
            <w:r w:rsidR="0087783D" w:rsidRPr="00600AFD">
              <w:rPr>
                <w:rFonts w:ascii="Times New Roman" w:eastAsia="Calibri" w:hAnsi="Times New Roman" w:cs="Times New Roman"/>
                <w:szCs w:val="24"/>
              </w:rPr>
              <w:t>.</w:t>
            </w:r>
          </w:p>
        </w:tc>
        <w:tc>
          <w:tcPr>
            <w:tcW w:w="8735" w:type="dxa"/>
            <w:gridSpan w:val="2"/>
          </w:tcPr>
          <w:p w14:paraId="5F8311A5"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Continuous </w:t>
            </w:r>
            <w:r w:rsidR="00A17E8E" w:rsidRPr="00600AFD">
              <w:rPr>
                <w:rFonts w:ascii="Times New Roman" w:eastAsia="Calibri" w:hAnsi="Times New Roman" w:cs="Times New Roman"/>
                <w:szCs w:val="24"/>
              </w:rPr>
              <w:t xml:space="preserve">advancement of </w:t>
            </w:r>
            <w:r w:rsidRPr="00600AFD">
              <w:rPr>
                <w:rFonts w:ascii="Times New Roman" w:eastAsia="Calibri" w:hAnsi="Times New Roman" w:cs="Times New Roman"/>
                <w:szCs w:val="24"/>
              </w:rPr>
              <w:t xml:space="preserve">the mechanisms for the harmonization of practices of public </w:t>
            </w:r>
            <w:r w:rsidR="00B55554" w:rsidRPr="00600AFD">
              <w:rPr>
                <w:rFonts w:ascii="Times New Roman" w:eastAsia="Calibri" w:hAnsi="Times New Roman" w:cs="Times New Roman"/>
                <w:szCs w:val="24"/>
              </w:rPr>
              <w:t>prosecutors’ offices</w:t>
            </w:r>
            <w:r w:rsidRPr="00600AFD">
              <w:rPr>
                <w:rFonts w:ascii="Times New Roman" w:eastAsia="Calibri" w:hAnsi="Times New Roman" w:cs="Times New Roman"/>
                <w:szCs w:val="24"/>
              </w:rPr>
              <w:t xml:space="preserve"> by implementing the measures defined in the Activity Plan of the Republic Public Prosecutor’s Office for the Harmonization of Practice of Public Prosecutor’s Offices;</w:t>
            </w:r>
          </w:p>
        </w:tc>
      </w:tr>
      <w:tr w:rsidR="0087783D" w:rsidRPr="00600AFD" w14:paraId="0DEA3370" w14:textId="77777777" w:rsidTr="00C55662">
        <w:tc>
          <w:tcPr>
            <w:tcW w:w="615" w:type="dxa"/>
            <w:shd w:val="clear" w:color="auto" w:fill="D9E2F3"/>
          </w:tcPr>
          <w:p w14:paraId="7FDB7F00" w14:textId="77777777" w:rsidR="0087783D" w:rsidRPr="00600AFD" w:rsidRDefault="001160F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9</w:t>
            </w:r>
            <w:r w:rsidR="0087783D" w:rsidRPr="00600AFD">
              <w:rPr>
                <w:rFonts w:ascii="Times New Roman" w:eastAsia="Calibri" w:hAnsi="Times New Roman" w:cs="Times New Roman"/>
                <w:szCs w:val="24"/>
              </w:rPr>
              <w:t xml:space="preserve">. </w:t>
            </w:r>
          </w:p>
        </w:tc>
        <w:tc>
          <w:tcPr>
            <w:tcW w:w="8735" w:type="dxa"/>
            <w:gridSpan w:val="2"/>
          </w:tcPr>
          <w:p w14:paraId="22A42348"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Continuous </w:t>
            </w:r>
            <w:r w:rsidR="00A17E8E" w:rsidRPr="00600AFD">
              <w:rPr>
                <w:rFonts w:ascii="Times New Roman" w:eastAsia="Calibri" w:hAnsi="Times New Roman" w:cs="Times New Roman"/>
                <w:szCs w:val="24"/>
              </w:rPr>
              <w:t xml:space="preserve">advancement </w:t>
            </w:r>
            <w:r w:rsidRPr="00600AFD">
              <w:rPr>
                <w:rFonts w:ascii="Times New Roman" w:eastAsia="Calibri" w:hAnsi="Times New Roman" w:cs="Times New Roman"/>
                <w:szCs w:val="24"/>
              </w:rPr>
              <w:t>and moderniz</w:t>
            </w:r>
            <w:r w:rsidR="00A17E8E" w:rsidRPr="00600AFD">
              <w:rPr>
                <w:rFonts w:ascii="Times New Roman" w:eastAsia="Calibri" w:hAnsi="Times New Roman" w:cs="Times New Roman"/>
                <w:szCs w:val="24"/>
              </w:rPr>
              <w:t>ation</w:t>
            </w:r>
            <w:r w:rsidRPr="00600AFD">
              <w:rPr>
                <w:rFonts w:ascii="Times New Roman" w:eastAsia="Calibri" w:hAnsi="Times New Roman" w:cs="Times New Roman"/>
                <w:szCs w:val="24"/>
              </w:rPr>
              <w:t xml:space="preserve"> </w:t>
            </w:r>
            <w:r w:rsidR="00A17E8E" w:rsidRPr="00600AFD">
              <w:rPr>
                <w:rFonts w:ascii="Times New Roman" w:eastAsia="Calibri" w:hAnsi="Times New Roman" w:cs="Times New Roman"/>
                <w:szCs w:val="24"/>
              </w:rPr>
              <w:t xml:space="preserve">of </w:t>
            </w:r>
            <w:r w:rsidRPr="00600AFD">
              <w:rPr>
                <w:rFonts w:ascii="Times New Roman" w:eastAsia="Calibri" w:hAnsi="Times New Roman" w:cs="Times New Roman"/>
                <w:szCs w:val="24"/>
              </w:rPr>
              <w:t>judicial infrastructure;</w:t>
            </w:r>
          </w:p>
        </w:tc>
      </w:tr>
      <w:tr w:rsidR="0087783D" w:rsidRPr="00600AFD" w14:paraId="599FCF98" w14:textId="77777777" w:rsidTr="00C55662">
        <w:tc>
          <w:tcPr>
            <w:tcW w:w="615" w:type="dxa"/>
            <w:shd w:val="clear" w:color="auto" w:fill="D9E2F3"/>
          </w:tcPr>
          <w:p w14:paraId="6CC3FE97" w14:textId="77777777" w:rsidR="0087783D" w:rsidRPr="00600AFD" w:rsidRDefault="001160F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10</w:t>
            </w:r>
            <w:r w:rsidR="0087783D" w:rsidRPr="00600AFD">
              <w:rPr>
                <w:rFonts w:ascii="Times New Roman" w:eastAsia="Calibri" w:hAnsi="Times New Roman" w:cs="Times New Roman"/>
                <w:szCs w:val="24"/>
              </w:rPr>
              <w:t>.</w:t>
            </w:r>
          </w:p>
        </w:tc>
        <w:tc>
          <w:tcPr>
            <w:tcW w:w="8735" w:type="dxa"/>
            <w:gridSpan w:val="2"/>
          </w:tcPr>
          <w:p w14:paraId="360ADBD2" w14:textId="77777777" w:rsidR="0087783D" w:rsidRPr="00600AFD" w:rsidRDefault="0087783D" w:rsidP="0087783D">
            <w:pPr>
              <w:spacing w:line="276" w:lineRule="auto"/>
              <w:rPr>
                <w:rFonts w:ascii="Times New Roman" w:eastAsia="Calibri" w:hAnsi="Times New Roman" w:cs="Times New Roman"/>
                <w:szCs w:val="24"/>
                <w:highlight w:val="yellow"/>
              </w:rPr>
            </w:pPr>
            <w:r w:rsidRPr="00600AFD">
              <w:rPr>
                <w:rFonts w:ascii="Times New Roman" w:eastAsia="Calibri" w:hAnsi="Times New Roman" w:cs="Times New Roman"/>
                <w:szCs w:val="24"/>
              </w:rPr>
              <w:t xml:space="preserve">Further </w:t>
            </w:r>
            <w:r w:rsidR="00A17E8E" w:rsidRPr="00600AFD">
              <w:rPr>
                <w:rFonts w:ascii="Times New Roman" w:eastAsia="Calibri" w:hAnsi="Times New Roman" w:cs="Times New Roman"/>
                <w:szCs w:val="24"/>
              </w:rPr>
              <w:t xml:space="preserve">advancement </w:t>
            </w:r>
            <w:r w:rsidRPr="00600AFD">
              <w:rPr>
                <w:rFonts w:ascii="Times New Roman" w:eastAsia="Calibri" w:hAnsi="Times New Roman" w:cs="Times New Roman"/>
                <w:szCs w:val="24"/>
              </w:rPr>
              <w:t>and align</w:t>
            </w:r>
            <w:r w:rsidR="00A17E8E" w:rsidRPr="00600AFD">
              <w:rPr>
                <w:rFonts w:ascii="Times New Roman" w:eastAsia="Calibri" w:hAnsi="Times New Roman" w:cs="Times New Roman"/>
                <w:szCs w:val="24"/>
              </w:rPr>
              <w:t>ment of</w:t>
            </w:r>
            <w:r w:rsidRPr="00600AFD">
              <w:rPr>
                <w:rFonts w:ascii="Times New Roman" w:eastAsia="Calibri" w:hAnsi="Times New Roman" w:cs="Times New Roman"/>
                <w:szCs w:val="24"/>
              </w:rPr>
              <w:t xml:space="preserve"> administrative internal work processes in the courts and public </w:t>
            </w:r>
            <w:r w:rsidR="00B55554" w:rsidRPr="00600AFD">
              <w:rPr>
                <w:rFonts w:ascii="Times New Roman" w:eastAsia="Calibri" w:hAnsi="Times New Roman" w:cs="Times New Roman"/>
                <w:szCs w:val="24"/>
              </w:rPr>
              <w:t>prosecutors’ offices</w:t>
            </w:r>
            <w:r w:rsidRPr="00600AFD">
              <w:rPr>
                <w:rFonts w:ascii="Times New Roman" w:eastAsia="Calibri" w:hAnsi="Times New Roman" w:cs="Times New Roman"/>
                <w:szCs w:val="24"/>
              </w:rPr>
              <w:t xml:space="preserve">, and </w:t>
            </w:r>
            <w:r w:rsidR="00A17E8E" w:rsidRPr="00600AFD">
              <w:rPr>
                <w:rFonts w:ascii="Times New Roman" w:eastAsia="Calibri" w:hAnsi="Times New Roman" w:cs="Times New Roman"/>
                <w:szCs w:val="24"/>
              </w:rPr>
              <w:t xml:space="preserve">their </w:t>
            </w:r>
            <w:r w:rsidRPr="00600AFD">
              <w:rPr>
                <w:rFonts w:ascii="Times New Roman" w:eastAsia="Calibri" w:hAnsi="Times New Roman" w:cs="Times New Roman"/>
                <w:szCs w:val="24"/>
              </w:rPr>
              <w:t>moderniz</w:t>
            </w:r>
            <w:r w:rsidR="00A17E8E" w:rsidRPr="00600AFD">
              <w:rPr>
                <w:rFonts w:ascii="Times New Roman" w:eastAsia="Calibri" w:hAnsi="Times New Roman" w:cs="Times New Roman"/>
                <w:szCs w:val="24"/>
              </w:rPr>
              <w:t>ation</w:t>
            </w:r>
            <w:r w:rsidRPr="00600AFD">
              <w:rPr>
                <w:rFonts w:ascii="Times New Roman" w:eastAsia="Calibri" w:hAnsi="Times New Roman" w:cs="Times New Roman"/>
                <w:szCs w:val="24"/>
              </w:rPr>
              <w:t xml:space="preserve"> with the aim of relieving the </w:t>
            </w:r>
            <w:r w:rsidR="00734DD4" w:rsidRPr="00600AFD">
              <w:rPr>
                <w:rFonts w:ascii="Times New Roman" w:eastAsia="Calibri" w:hAnsi="Times New Roman" w:cs="Times New Roman"/>
                <w:szCs w:val="24"/>
              </w:rPr>
              <w:t>judicial office holders</w:t>
            </w:r>
            <w:r w:rsidRPr="00600AFD">
              <w:rPr>
                <w:rFonts w:ascii="Times New Roman" w:eastAsia="Calibri" w:hAnsi="Times New Roman" w:cs="Times New Roman"/>
                <w:szCs w:val="24"/>
              </w:rPr>
              <w:t xml:space="preserve"> of administrative tasks;</w:t>
            </w:r>
          </w:p>
        </w:tc>
      </w:tr>
      <w:tr w:rsidR="0087783D" w:rsidRPr="00600AFD" w14:paraId="14A019CD" w14:textId="77777777" w:rsidTr="00C55662">
        <w:tc>
          <w:tcPr>
            <w:tcW w:w="615" w:type="dxa"/>
            <w:shd w:val="clear" w:color="auto" w:fill="D9E2F3"/>
          </w:tcPr>
          <w:p w14:paraId="62EBDEEC" w14:textId="77777777" w:rsidR="0087783D" w:rsidRPr="00600AFD" w:rsidRDefault="001160F8" w:rsidP="0087783D">
            <w:pPr>
              <w:spacing w:after="120" w:line="276" w:lineRule="auto"/>
              <w:rPr>
                <w:rFonts w:ascii="Times New Roman" w:eastAsia="Calibri" w:hAnsi="Times New Roman" w:cs="Times New Roman"/>
                <w:szCs w:val="24"/>
              </w:rPr>
            </w:pPr>
            <w:r w:rsidRPr="00600AFD">
              <w:rPr>
                <w:rFonts w:ascii="Times New Roman" w:eastAsia="Calibri" w:hAnsi="Times New Roman" w:cs="Times New Roman"/>
                <w:szCs w:val="24"/>
              </w:rPr>
              <w:t>11</w:t>
            </w:r>
          </w:p>
        </w:tc>
        <w:tc>
          <w:tcPr>
            <w:tcW w:w="8735" w:type="dxa"/>
            <w:gridSpan w:val="2"/>
          </w:tcPr>
          <w:p w14:paraId="0DD3E25F" w14:textId="14920D4F" w:rsidR="0087783D" w:rsidRPr="00600AFD" w:rsidRDefault="0087783D" w:rsidP="0087783D">
            <w:pPr>
              <w:spacing w:line="276" w:lineRule="auto"/>
              <w:rPr>
                <w:rFonts w:ascii="Times New Roman" w:eastAsia="Calibri" w:hAnsi="Times New Roman" w:cs="Times New Roman"/>
                <w:szCs w:val="24"/>
              </w:rPr>
            </w:pPr>
            <w:r w:rsidRPr="00600AFD">
              <w:rPr>
                <w:rFonts w:ascii="Times New Roman" w:eastAsia="Calibri" w:hAnsi="Times New Roman" w:cs="Times New Roman"/>
                <w:szCs w:val="24"/>
              </w:rPr>
              <w:t>Monitor</w:t>
            </w:r>
            <w:r w:rsidR="00A17E8E" w:rsidRPr="00600AFD">
              <w:rPr>
                <w:rFonts w:ascii="Times New Roman" w:eastAsia="Calibri" w:hAnsi="Times New Roman" w:cs="Times New Roman"/>
                <w:szCs w:val="24"/>
              </w:rPr>
              <w:t>ing of</w:t>
            </w:r>
            <w:r w:rsidRPr="00600AFD">
              <w:rPr>
                <w:rFonts w:ascii="Times New Roman" w:eastAsia="Calibri" w:hAnsi="Times New Roman" w:cs="Times New Roman"/>
                <w:szCs w:val="24"/>
              </w:rPr>
              <w:t xml:space="preserve"> the application of procedural laws and </w:t>
            </w:r>
            <w:r w:rsidR="00A17E8E" w:rsidRPr="00600AFD">
              <w:rPr>
                <w:rFonts w:ascii="Times New Roman" w:eastAsia="Calibri" w:hAnsi="Times New Roman" w:cs="Times New Roman"/>
                <w:szCs w:val="24"/>
              </w:rPr>
              <w:t xml:space="preserve">their </w:t>
            </w:r>
            <w:r w:rsidRPr="00600AFD">
              <w:rPr>
                <w:rFonts w:ascii="Times New Roman" w:eastAsia="Calibri" w:hAnsi="Times New Roman" w:cs="Times New Roman"/>
                <w:szCs w:val="24"/>
              </w:rPr>
              <w:t>modif</w:t>
            </w:r>
            <w:r w:rsidR="00A17E8E" w:rsidRPr="00600AFD">
              <w:rPr>
                <w:rFonts w:ascii="Times New Roman" w:eastAsia="Calibri" w:hAnsi="Times New Roman" w:cs="Times New Roman"/>
                <w:szCs w:val="24"/>
              </w:rPr>
              <w:t>ication</w:t>
            </w:r>
            <w:r w:rsidRPr="00600AFD">
              <w:rPr>
                <w:rFonts w:ascii="Times New Roman" w:eastAsia="Calibri" w:hAnsi="Times New Roman" w:cs="Times New Roman"/>
                <w:szCs w:val="24"/>
              </w:rPr>
              <w:t xml:space="preserve"> in accordance with established implementation results and using an </w:t>
            </w:r>
            <w:r w:rsidRPr="00600AFD">
              <w:rPr>
                <w:rFonts w:ascii="Times New Roman" w:eastAsia="Calibri" w:hAnsi="Times New Roman" w:cs="Times New Roman"/>
                <w:i/>
                <w:szCs w:val="24"/>
              </w:rPr>
              <w:t>ex post</w:t>
            </w:r>
            <w:r w:rsidRPr="00600AFD">
              <w:rPr>
                <w:rFonts w:ascii="Times New Roman" w:eastAsia="Calibri" w:hAnsi="Times New Roman" w:cs="Times New Roman"/>
                <w:szCs w:val="24"/>
              </w:rPr>
              <w:t xml:space="preserve"> </w:t>
            </w:r>
            <w:r w:rsidR="00241BF7" w:rsidRPr="00600AFD">
              <w:rPr>
                <w:rFonts w:ascii="Times New Roman" w:eastAsia="Calibri" w:hAnsi="Times New Roman" w:cs="Times New Roman"/>
                <w:szCs w:val="24"/>
              </w:rPr>
              <w:t>cost</w:t>
            </w:r>
            <w:r w:rsidR="000F3999">
              <w:rPr>
                <w:rFonts w:ascii="Times New Roman" w:eastAsia="Calibri" w:hAnsi="Times New Roman" w:cs="Times New Roman"/>
                <w:szCs w:val="24"/>
              </w:rPr>
              <w:t>–</w:t>
            </w:r>
            <w:r w:rsidR="00241BF7" w:rsidRPr="00600AFD">
              <w:rPr>
                <w:rFonts w:ascii="Times New Roman" w:eastAsia="Calibri" w:hAnsi="Times New Roman" w:cs="Times New Roman"/>
                <w:szCs w:val="24"/>
              </w:rPr>
              <w:t>and</w:t>
            </w:r>
            <w:r w:rsidR="000F3999">
              <w:rPr>
                <w:rFonts w:ascii="Times New Roman" w:eastAsia="Calibri" w:hAnsi="Times New Roman" w:cs="Times New Roman"/>
                <w:szCs w:val="24"/>
              </w:rPr>
              <w:t>–</w:t>
            </w:r>
            <w:r w:rsidR="00241BF7" w:rsidRPr="00600AFD">
              <w:rPr>
                <w:rFonts w:ascii="Times New Roman" w:eastAsia="Calibri" w:hAnsi="Times New Roman" w:cs="Times New Roman"/>
                <w:szCs w:val="24"/>
              </w:rPr>
              <w:t>benefit</w:t>
            </w:r>
            <w:r w:rsidRPr="00600AFD">
              <w:rPr>
                <w:rFonts w:ascii="Times New Roman" w:eastAsia="Calibri" w:hAnsi="Times New Roman" w:cs="Times New Roman"/>
                <w:szCs w:val="24"/>
              </w:rPr>
              <w:t xml:space="preserve"> analysis, in relation to the objectives that were present at the time of the adoption of the laws.</w:t>
            </w:r>
          </w:p>
        </w:tc>
      </w:tr>
    </w:tbl>
    <w:p w14:paraId="5D0A854B" w14:textId="77777777" w:rsidR="0087783D" w:rsidRPr="00600AFD" w:rsidRDefault="0087783D" w:rsidP="0087783D">
      <w:pPr>
        <w:spacing w:line="259" w:lineRule="auto"/>
        <w:jc w:val="left"/>
        <w:rPr>
          <w:rFonts w:ascii="Times New Roman" w:eastAsia="Calibri" w:hAnsi="Times New Roman" w:cs="Times New Roman"/>
          <w:szCs w:val="24"/>
        </w:rPr>
      </w:pPr>
    </w:p>
    <w:p w14:paraId="77A87472" w14:textId="45E419D4" w:rsidR="0038313B" w:rsidRPr="00600AFD" w:rsidRDefault="001E4BD6" w:rsidP="00D82920">
      <w:pPr>
        <w:pStyle w:val="Heading1"/>
        <w:numPr>
          <w:ilvl w:val="1"/>
          <w:numId w:val="5"/>
        </w:numPr>
        <w:rPr>
          <w:rFonts w:ascii="Times New Roman" w:hAnsi="Times New Roman"/>
          <w:b/>
          <w:bCs w:val="0"/>
          <w:sz w:val="24"/>
        </w:rPr>
      </w:pPr>
      <w:bookmarkStart w:id="13" w:name="_Toc39707753"/>
      <w:r w:rsidRPr="00600AFD">
        <w:rPr>
          <w:rFonts w:ascii="Times New Roman" w:hAnsi="Times New Roman"/>
          <w:b/>
          <w:bCs w:val="0"/>
          <w:sz w:val="24"/>
        </w:rPr>
        <w:t>E</w:t>
      </w:r>
      <w:r w:rsidR="000F3999">
        <w:rPr>
          <w:rFonts w:ascii="Times New Roman" w:hAnsi="Times New Roman"/>
          <w:b/>
          <w:bCs w:val="0"/>
          <w:sz w:val="24"/>
        </w:rPr>
        <w:t>–</w:t>
      </w:r>
      <w:r w:rsidR="00042134" w:rsidRPr="00600AFD">
        <w:rPr>
          <w:rFonts w:ascii="Times New Roman" w:hAnsi="Times New Roman"/>
          <w:b/>
          <w:bCs w:val="0"/>
          <w:sz w:val="24"/>
        </w:rPr>
        <w:t>Justice</w:t>
      </w:r>
      <w:bookmarkEnd w:id="13"/>
    </w:p>
    <w:p w14:paraId="14883054" w14:textId="22162DA0" w:rsidR="00E9175B" w:rsidRPr="00600AFD" w:rsidRDefault="00A80FDB" w:rsidP="005D06D2">
      <w:pPr>
        <w:spacing w:line="276" w:lineRule="auto"/>
        <w:rPr>
          <w:rFonts w:ascii="Times New Roman" w:hAnsi="Times New Roman" w:cs="Times New Roman"/>
          <w:szCs w:val="24"/>
        </w:rPr>
      </w:pPr>
      <w:r w:rsidRPr="00600AFD">
        <w:rPr>
          <w:rFonts w:ascii="Times New Roman" w:hAnsi="Times New Roman" w:cs="Times New Roman"/>
          <w:szCs w:val="24"/>
        </w:rPr>
        <w:t>Accelerated development o</w:t>
      </w:r>
      <w:r w:rsidR="00C6268A" w:rsidRPr="00600AFD">
        <w:rPr>
          <w:rFonts w:ascii="Times New Roman" w:hAnsi="Times New Roman" w:cs="Times New Roman"/>
          <w:szCs w:val="24"/>
        </w:rPr>
        <w:t>f information and communication</w:t>
      </w:r>
      <w:r w:rsidRPr="00600AFD">
        <w:rPr>
          <w:rFonts w:ascii="Times New Roman" w:hAnsi="Times New Roman" w:cs="Times New Roman"/>
          <w:szCs w:val="24"/>
        </w:rPr>
        <w:t xml:space="preserve"> technology (ICT)</w:t>
      </w:r>
      <w:r w:rsidR="00C6268A" w:rsidRPr="00600AFD">
        <w:rPr>
          <w:rFonts w:ascii="Times New Roman" w:hAnsi="Times New Roman" w:cs="Times New Roman"/>
          <w:szCs w:val="24"/>
        </w:rPr>
        <w:t>,</w:t>
      </w:r>
      <w:r w:rsidRPr="00600AFD">
        <w:rPr>
          <w:rFonts w:ascii="Times New Roman" w:hAnsi="Times New Roman" w:cs="Times New Roman"/>
          <w:szCs w:val="24"/>
        </w:rPr>
        <w:t xml:space="preserve"> and </w:t>
      </w:r>
      <w:r w:rsidR="00157EB2" w:rsidRPr="00600AFD">
        <w:rPr>
          <w:rFonts w:ascii="Times New Roman" w:hAnsi="Times New Roman" w:cs="Times New Roman"/>
          <w:szCs w:val="24"/>
        </w:rPr>
        <w:t>application</w:t>
      </w:r>
      <w:r w:rsidRPr="00600AFD">
        <w:rPr>
          <w:rFonts w:ascii="Times New Roman" w:hAnsi="Times New Roman" w:cs="Times New Roman"/>
          <w:szCs w:val="24"/>
        </w:rPr>
        <w:t xml:space="preserve"> of “smart solutions” which these technologies</w:t>
      </w:r>
      <w:r w:rsidR="00C6268A" w:rsidRPr="00600AFD">
        <w:rPr>
          <w:rFonts w:ascii="Times New Roman" w:hAnsi="Times New Roman" w:cs="Times New Roman"/>
          <w:szCs w:val="24"/>
        </w:rPr>
        <w:t xml:space="preserve"> provide for different aspects of</w:t>
      </w:r>
      <w:r w:rsidRPr="00600AFD">
        <w:rPr>
          <w:rFonts w:ascii="Times New Roman" w:hAnsi="Times New Roman" w:cs="Times New Roman"/>
          <w:szCs w:val="24"/>
        </w:rPr>
        <w:t xml:space="preserve"> all systems, including the judiciary, resulted in the adoption of the Information Society Development Strategy in the Republic of Serbia until 2020.</w:t>
      </w:r>
      <w:r w:rsidR="00A17E8E" w:rsidRPr="00600AFD">
        <w:rPr>
          <w:rStyle w:val="FootnoteReference"/>
          <w:rFonts w:ascii="Times New Roman" w:hAnsi="Times New Roman" w:cs="Times New Roman"/>
          <w:szCs w:val="24"/>
        </w:rPr>
        <w:footnoteReference w:id="35"/>
      </w:r>
      <w:r w:rsidRPr="00600AFD">
        <w:rPr>
          <w:rFonts w:ascii="Times New Roman" w:hAnsi="Times New Roman" w:cs="Times New Roman"/>
          <w:szCs w:val="24"/>
        </w:rPr>
        <w:t xml:space="preserve"> The said Development Strategy designates the application of ICT in the judiciary as </w:t>
      </w:r>
      <w:r w:rsidR="00241BF7" w:rsidRPr="00600AFD">
        <w:rPr>
          <w:rFonts w:ascii="Times New Roman" w:hAnsi="Times New Roman" w:cs="Times New Roman"/>
          <w:szCs w:val="24"/>
        </w:rPr>
        <w:t xml:space="preserve">a </w:t>
      </w:r>
      <w:r w:rsidRPr="00600AFD">
        <w:rPr>
          <w:rFonts w:ascii="Times New Roman" w:hAnsi="Times New Roman" w:cs="Times New Roman"/>
          <w:szCs w:val="24"/>
        </w:rPr>
        <w:t xml:space="preserve">priority and focuses considerable attention </w:t>
      </w:r>
      <w:r w:rsidR="00241BF7" w:rsidRPr="00600AFD">
        <w:rPr>
          <w:rFonts w:ascii="Times New Roman" w:hAnsi="Times New Roman" w:cs="Times New Roman"/>
          <w:szCs w:val="24"/>
        </w:rPr>
        <w:t>on</w:t>
      </w:r>
      <w:r w:rsidR="00C6268A" w:rsidRPr="00600AFD">
        <w:rPr>
          <w:rFonts w:ascii="Times New Roman" w:hAnsi="Times New Roman" w:cs="Times New Roman"/>
          <w:szCs w:val="24"/>
        </w:rPr>
        <w:t xml:space="preserve"> the field of e</w:t>
      </w:r>
      <w:r w:rsidR="000F3999">
        <w:rPr>
          <w:rFonts w:ascii="Times New Roman" w:hAnsi="Times New Roman" w:cs="Times New Roman"/>
          <w:szCs w:val="24"/>
        </w:rPr>
        <w:t>–</w:t>
      </w:r>
      <w:r w:rsidR="00C6268A" w:rsidRPr="00600AFD">
        <w:rPr>
          <w:rFonts w:ascii="Times New Roman" w:hAnsi="Times New Roman" w:cs="Times New Roman"/>
          <w:szCs w:val="24"/>
        </w:rPr>
        <w:t>J</w:t>
      </w:r>
      <w:r w:rsidRPr="00600AFD">
        <w:rPr>
          <w:rFonts w:ascii="Times New Roman" w:hAnsi="Times New Roman" w:cs="Times New Roman"/>
          <w:szCs w:val="24"/>
        </w:rPr>
        <w:t>u</w:t>
      </w:r>
      <w:r w:rsidR="00C6268A" w:rsidRPr="00600AFD">
        <w:rPr>
          <w:rFonts w:ascii="Times New Roman" w:hAnsi="Times New Roman" w:cs="Times New Roman"/>
          <w:szCs w:val="24"/>
        </w:rPr>
        <w:t>stice</w:t>
      </w:r>
      <w:r w:rsidRPr="00600AFD">
        <w:rPr>
          <w:rFonts w:ascii="Times New Roman" w:hAnsi="Times New Roman" w:cs="Times New Roman"/>
          <w:szCs w:val="24"/>
        </w:rPr>
        <w:t>, specifying that the citizens will be able to have all contacts with courts electronically by 2020, except for those contacts which by their nature require physical presence.</w:t>
      </w:r>
      <w:r w:rsidR="00E9175B" w:rsidRPr="00600AFD">
        <w:rPr>
          <w:rFonts w:ascii="Times New Roman" w:hAnsi="Times New Roman" w:cs="Times New Roman"/>
          <w:szCs w:val="24"/>
        </w:rPr>
        <w:t xml:space="preserve"> </w:t>
      </w:r>
    </w:p>
    <w:p w14:paraId="47B2C42E" w14:textId="21E90F8A" w:rsidR="00E9175B" w:rsidRPr="00600AFD" w:rsidRDefault="00694DCE" w:rsidP="005D06D2">
      <w:pPr>
        <w:spacing w:line="276" w:lineRule="auto"/>
        <w:rPr>
          <w:rFonts w:ascii="Times New Roman" w:hAnsi="Times New Roman" w:cs="Times New Roman"/>
          <w:szCs w:val="24"/>
        </w:rPr>
      </w:pPr>
      <w:r w:rsidRPr="00600AFD">
        <w:rPr>
          <w:rFonts w:ascii="Times New Roman" w:hAnsi="Times New Roman" w:cs="Times New Roman"/>
          <w:szCs w:val="24"/>
        </w:rPr>
        <w:t xml:space="preserve">ICT is recognized in the </w:t>
      </w:r>
      <w:r w:rsidR="00C6268A" w:rsidRPr="00600AFD">
        <w:rPr>
          <w:rFonts w:ascii="Times New Roman" w:hAnsi="Times New Roman" w:cs="Times New Roman"/>
          <w:szCs w:val="24"/>
        </w:rPr>
        <w:t>EU</w:t>
      </w:r>
      <w:r w:rsidRPr="00600AFD">
        <w:rPr>
          <w:rFonts w:ascii="Times New Roman" w:hAnsi="Times New Roman" w:cs="Times New Roman"/>
          <w:szCs w:val="24"/>
        </w:rPr>
        <w:t xml:space="preserve"> as the main factor driving economic growth. Economic development should be directed towards tapping the potential of ICT in order to increase efficiency in all spheres of socia</w:t>
      </w:r>
      <w:r w:rsidR="00C6268A" w:rsidRPr="00600AFD">
        <w:rPr>
          <w:rFonts w:ascii="Times New Roman" w:hAnsi="Times New Roman" w:cs="Times New Roman"/>
          <w:szCs w:val="24"/>
        </w:rPr>
        <w:t>l life, to which a developed e</w:t>
      </w:r>
      <w:r w:rsidR="000F3999">
        <w:rPr>
          <w:rFonts w:ascii="Times New Roman" w:hAnsi="Times New Roman" w:cs="Times New Roman"/>
          <w:szCs w:val="24"/>
        </w:rPr>
        <w:t>–</w:t>
      </w:r>
      <w:r w:rsidR="00C6268A" w:rsidRPr="00600AFD">
        <w:rPr>
          <w:rFonts w:ascii="Times New Roman" w:hAnsi="Times New Roman" w:cs="Times New Roman"/>
          <w:szCs w:val="24"/>
        </w:rPr>
        <w:t>J</w:t>
      </w:r>
      <w:r w:rsidRPr="00600AFD">
        <w:rPr>
          <w:rFonts w:ascii="Times New Roman" w:hAnsi="Times New Roman" w:cs="Times New Roman"/>
          <w:szCs w:val="24"/>
        </w:rPr>
        <w:t>u</w:t>
      </w:r>
      <w:r w:rsidR="00C6268A" w:rsidRPr="00600AFD">
        <w:rPr>
          <w:rFonts w:ascii="Times New Roman" w:hAnsi="Times New Roman" w:cs="Times New Roman"/>
          <w:szCs w:val="24"/>
        </w:rPr>
        <w:t>stice</w:t>
      </w:r>
      <w:r w:rsidRPr="00600AFD">
        <w:rPr>
          <w:rFonts w:ascii="Times New Roman" w:hAnsi="Times New Roman" w:cs="Times New Roman"/>
          <w:szCs w:val="24"/>
        </w:rPr>
        <w:t xml:space="preserve"> will also contribute.</w:t>
      </w:r>
      <w:r w:rsidR="00E9175B" w:rsidRPr="00600AFD">
        <w:rPr>
          <w:rFonts w:ascii="Times New Roman" w:hAnsi="Times New Roman" w:cs="Times New Roman"/>
          <w:szCs w:val="24"/>
        </w:rPr>
        <w:t xml:space="preserve"> </w:t>
      </w:r>
    </w:p>
    <w:p w14:paraId="301D055C" w14:textId="7584B395" w:rsidR="00E9175B" w:rsidRPr="00600AFD" w:rsidRDefault="00C6268A" w:rsidP="005D06D2">
      <w:pPr>
        <w:spacing w:line="276" w:lineRule="auto"/>
        <w:rPr>
          <w:rFonts w:ascii="Times New Roman" w:hAnsi="Times New Roman" w:cs="Times New Roman"/>
          <w:szCs w:val="24"/>
        </w:rPr>
      </w:pPr>
      <w:r w:rsidRPr="00600AFD">
        <w:rPr>
          <w:rFonts w:ascii="Times New Roman" w:hAnsi="Times New Roman" w:cs="Times New Roman"/>
          <w:szCs w:val="24"/>
        </w:rPr>
        <w:lastRenderedPageBreak/>
        <w:t>In 2013</w:t>
      </w:r>
      <w:r w:rsidR="000F3999">
        <w:rPr>
          <w:rFonts w:ascii="Times New Roman" w:hAnsi="Times New Roman" w:cs="Times New Roman"/>
          <w:szCs w:val="24"/>
        </w:rPr>
        <w:t>–</w:t>
      </w:r>
      <w:r w:rsidRPr="00600AFD">
        <w:rPr>
          <w:rFonts w:ascii="Times New Roman" w:hAnsi="Times New Roman" w:cs="Times New Roman"/>
          <w:szCs w:val="24"/>
        </w:rPr>
        <w:t>2018 NJRS, e</w:t>
      </w:r>
      <w:r w:rsidR="000F3999">
        <w:rPr>
          <w:rFonts w:ascii="Times New Roman" w:hAnsi="Times New Roman" w:cs="Times New Roman"/>
          <w:szCs w:val="24"/>
        </w:rPr>
        <w:t>–</w:t>
      </w:r>
      <w:r w:rsidRPr="00600AFD">
        <w:rPr>
          <w:rFonts w:ascii="Times New Roman" w:hAnsi="Times New Roman" w:cs="Times New Roman"/>
          <w:szCs w:val="24"/>
        </w:rPr>
        <w:t>J</w:t>
      </w:r>
      <w:r w:rsidR="00EB464D" w:rsidRPr="00600AFD">
        <w:rPr>
          <w:rFonts w:ascii="Times New Roman" w:hAnsi="Times New Roman" w:cs="Times New Roman"/>
          <w:szCs w:val="24"/>
        </w:rPr>
        <w:t>u</w:t>
      </w:r>
      <w:r w:rsidRPr="00600AFD">
        <w:rPr>
          <w:rFonts w:ascii="Times New Roman" w:hAnsi="Times New Roman" w:cs="Times New Roman"/>
          <w:szCs w:val="24"/>
        </w:rPr>
        <w:t>stice</w:t>
      </w:r>
      <w:r w:rsidR="00EB464D" w:rsidRPr="00600AFD">
        <w:rPr>
          <w:rFonts w:ascii="Times New Roman" w:hAnsi="Times New Roman" w:cs="Times New Roman"/>
          <w:szCs w:val="24"/>
        </w:rPr>
        <w:t xml:space="preserve"> was classified under the principle of efficiency. However, the importance of ICT is also reflected in the fact that</w:t>
      </w:r>
      <w:r w:rsidR="00135299" w:rsidRPr="00600AFD">
        <w:rPr>
          <w:rFonts w:ascii="Times New Roman" w:hAnsi="Times New Roman" w:cs="Times New Roman"/>
          <w:szCs w:val="24"/>
        </w:rPr>
        <w:t xml:space="preserve"> the</w:t>
      </w:r>
      <w:r w:rsidR="00EB464D" w:rsidRPr="00600AFD">
        <w:rPr>
          <w:rFonts w:ascii="Times New Roman" w:hAnsi="Times New Roman" w:cs="Times New Roman"/>
          <w:szCs w:val="24"/>
        </w:rPr>
        <w:t xml:space="preserve"> “Digital Agenda for Europe” is among seven leading initiatives in the Europe 2020 economic strategy. AP23 has also s</w:t>
      </w:r>
      <w:r w:rsidRPr="00600AFD">
        <w:rPr>
          <w:rFonts w:ascii="Times New Roman" w:hAnsi="Times New Roman" w:cs="Times New Roman"/>
          <w:szCs w:val="24"/>
        </w:rPr>
        <w:t>hown that the application of e</w:t>
      </w:r>
      <w:r w:rsidR="000F3999">
        <w:rPr>
          <w:rFonts w:ascii="Times New Roman" w:hAnsi="Times New Roman" w:cs="Times New Roman"/>
          <w:szCs w:val="24"/>
        </w:rPr>
        <w:t>–</w:t>
      </w:r>
      <w:r w:rsidRPr="00600AFD">
        <w:rPr>
          <w:rFonts w:ascii="Times New Roman" w:hAnsi="Times New Roman" w:cs="Times New Roman"/>
          <w:szCs w:val="24"/>
        </w:rPr>
        <w:t>J</w:t>
      </w:r>
      <w:r w:rsidR="00EB464D" w:rsidRPr="00600AFD">
        <w:rPr>
          <w:rFonts w:ascii="Times New Roman" w:hAnsi="Times New Roman" w:cs="Times New Roman"/>
          <w:szCs w:val="24"/>
        </w:rPr>
        <w:t>ustice tools and mechanisms exceeds the scope of its role in advancing efficiency, and represents a horizontal mechanism permeating all five key principles of the judicia</w:t>
      </w:r>
      <w:r w:rsidRPr="00600AFD">
        <w:rPr>
          <w:rFonts w:ascii="Times New Roman" w:hAnsi="Times New Roman" w:cs="Times New Roman"/>
          <w:szCs w:val="24"/>
        </w:rPr>
        <w:t>l</w:t>
      </w:r>
      <w:r w:rsidR="00EB464D" w:rsidRPr="00600AFD">
        <w:rPr>
          <w:rFonts w:ascii="Times New Roman" w:hAnsi="Times New Roman" w:cs="Times New Roman"/>
          <w:szCs w:val="24"/>
        </w:rPr>
        <w:t xml:space="preserve"> reform and organization, by way of: </w:t>
      </w:r>
    </w:p>
    <w:p w14:paraId="64635C6F" w14:textId="3F28ACB7" w:rsidR="00E9175B" w:rsidRPr="00600AFD" w:rsidRDefault="009F7CC8" w:rsidP="002673A2">
      <w:pPr>
        <w:pStyle w:val="ListParagraph"/>
        <w:numPr>
          <w:ilvl w:val="0"/>
          <w:numId w:val="11"/>
        </w:numPr>
        <w:spacing w:line="276" w:lineRule="auto"/>
        <w:contextualSpacing w:val="0"/>
        <w:rPr>
          <w:rFonts w:ascii="Times New Roman" w:hAnsi="Times New Roman" w:cs="Times New Roman"/>
          <w:szCs w:val="24"/>
        </w:rPr>
      </w:pPr>
      <w:r w:rsidRPr="00600AFD">
        <w:rPr>
          <w:rFonts w:ascii="Times New Roman" w:hAnsi="Times New Roman" w:cs="Times New Roman"/>
          <w:szCs w:val="24"/>
        </w:rPr>
        <w:t>Em</w:t>
      </w:r>
      <w:r w:rsidR="00F82E0F" w:rsidRPr="00600AFD">
        <w:rPr>
          <w:rFonts w:ascii="Times New Roman" w:hAnsi="Times New Roman" w:cs="Times New Roman"/>
          <w:szCs w:val="24"/>
        </w:rPr>
        <w:t>powering</w:t>
      </w:r>
      <w:r w:rsidR="00E44AE0" w:rsidRPr="00600AFD">
        <w:rPr>
          <w:rFonts w:ascii="Times New Roman" w:hAnsi="Times New Roman" w:cs="Times New Roman"/>
          <w:szCs w:val="24"/>
        </w:rPr>
        <w:t xml:space="preserve"> the central role of the High </w:t>
      </w:r>
      <w:r w:rsidR="00C6268A" w:rsidRPr="00600AFD">
        <w:rPr>
          <w:rFonts w:ascii="Times New Roman" w:hAnsi="Times New Roman" w:cs="Times New Roman"/>
          <w:szCs w:val="24"/>
        </w:rPr>
        <w:t>Court</w:t>
      </w:r>
      <w:r w:rsidR="00E44AE0" w:rsidRPr="00600AFD">
        <w:rPr>
          <w:rFonts w:ascii="Times New Roman" w:hAnsi="Times New Roman" w:cs="Times New Roman"/>
          <w:szCs w:val="24"/>
        </w:rPr>
        <w:t xml:space="preserve"> Council and the State Prosecutorial Council</w:t>
      </w:r>
      <w:r w:rsidR="00E925F9" w:rsidRPr="00600AFD">
        <w:rPr>
          <w:rFonts w:ascii="Times New Roman" w:hAnsi="Times New Roman" w:cs="Times New Roman"/>
          <w:szCs w:val="24"/>
        </w:rPr>
        <w:t xml:space="preserve"> for</w:t>
      </w:r>
      <w:r w:rsidR="0065607A" w:rsidRPr="00600AFD">
        <w:rPr>
          <w:rFonts w:ascii="Times New Roman" w:hAnsi="Times New Roman" w:cs="Times New Roman"/>
          <w:szCs w:val="24"/>
        </w:rPr>
        <w:t xml:space="preserve"> </w:t>
      </w:r>
      <w:r w:rsidR="00157EB2" w:rsidRPr="00600AFD">
        <w:rPr>
          <w:rFonts w:ascii="Times New Roman" w:hAnsi="Times New Roman" w:cs="Times New Roman"/>
          <w:szCs w:val="24"/>
        </w:rPr>
        <w:t>providing</w:t>
      </w:r>
      <w:r w:rsidR="00233A7A" w:rsidRPr="00600AFD">
        <w:rPr>
          <w:rFonts w:ascii="Times New Roman" w:hAnsi="Times New Roman" w:cs="Times New Roman"/>
          <w:szCs w:val="24"/>
        </w:rPr>
        <w:t xml:space="preserve"> </w:t>
      </w:r>
      <w:r w:rsidR="00E925F9" w:rsidRPr="00600AFD">
        <w:rPr>
          <w:rFonts w:ascii="Times New Roman" w:hAnsi="Times New Roman" w:cs="Times New Roman"/>
          <w:szCs w:val="24"/>
        </w:rPr>
        <w:t xml:space="preserve">the </w:t>
      </w:r>
      <w:r w:rsidR="00233A7A" w:rsidRPr="00600AFD">
        <w:rPr>
          <w:rFonts w:ascii="Times New Roman" w:hAnsi="Times New Roman" w:cs="Times New Roman"/>
          <w:szCs w:val="24"/>
        </w:rPr>
        <w:t xml:space="preserve">accurate record keeping </w:t>
      </w:r>
      <w:r w:rsidR="004C62B9" w:rsidRPr="00600AFD">
        <w:rPr>
          <w:rFonts w:ascii="Times New Roman" w:hAnsi="Times New Roman" w:cs="Times New Roman"/>
          <w:szCs w:val="24"/>
        </w:rPr>
        <w:t xml:space="preserve">and exchange of relevant data pertaining to the selection, performance appraisal, promotion and </w:t>
      </w:r>
      <w:r w:rsidR="00836C7C" w:rsidRPr="00600AFD">
        <w:rPr>
          <w:rFonts w:ascii="Times New Roman" w:hAnsi="Times New Roman" w:cs="Times New Roman"/>
          <w:szCs w:val="24"/>
        </w:rPr>
        <w:t xml:space="preserve">accountability </w:t>
      </w:r>
      <w:r w:rsidR="00BC335F" w:rsidRPr="00600AFD">
        <w:rPr>
          <w:rFonts w:ascii="Times New Roman" w:hAnsi="Times New Roman" w:cs="Times New Roman"/>
          <w:szCs w:val="24"/>
        </w:rPr>
        <w:t xml:space="preserve">of judicial office holders; </w:t>
      </w:r>
    </w:p>
    <w:p w14:paraId="52DDE923" w14:textId="77777777" w:rsidR="00E9175B" w:rsidRPr="00600AFD" w:rsidRDefault="005D1A71" w:rsidP="002673A2">
      <w:pPr>
        <w:pStyle w:val="ListParagraph"/>
        <w:numPr>
          <w:ilvl w:val="0"/>
          <w:numId w:val="11"/>
        </w:numPr>
        <w:spacing w:line="276" w:lineRule="auto"/>
        <w:contextualSpacing w:val="0"/>
        <w:rPr>
          <w:rFonts w:ascii="Times New Roman" w:hAnsi="Times New Roman" w:cs="Times New Roman"/>
          <w:szCs w:val="24"/>
        </w:rPr>
      </w:pPr>
      <w:r w:rsidRPr="00600AFD">
        <w:rPr>
          <w:rFonts w:ascii="Times New Roman" w:hAnsi="Times New Roman" w:cs="Times New Roman"/>
          <w:szCs w:val="24"/>
        </w:rPr>
        <w:t xml:space="preserve">Ensuring impartiality through automated case </w:t>
      </w:r>
      <w:r w:rsidR="00B55554" w:rsidRPr="00600AFD">
        <w:rPr>
          <w:rFonts w:ascii="Times New Roman" w:hAnsi="Times New Roman" w:cs="Times New Roman"/>
          <w:szCs w:val="24"/>
        </w:rPr>
        <w:t>distribution</w:t>
      </w:r>
      <w:r w:rsidRPr="00600AFD">
        <w:rPr>
          <w:rFonts w:ascii="Times New Roman" w:hAnsi="Times New Roman" w:cs="Times New Roman"/>
          <w:szCs w:val="24"/>
        </w:rPr>
        <w:t xml:space="preserve">; </w:t>
      </w:r>
    </w:p>
    <w:p w14:paraId="2645C340" w14:textId="7D93D6A8" w:rsidR="00E9175B" w:rsidRPr="00600AFD" w:rsidRDefault="005D1A71" w:rsidP="002673A2">
      <w:pPr>
        <w:pStyle w:val="ListParagraph"/>
        <w:numPr>
          <w:ilvl w:val="0"/>
          <w:numId w:val="11"/>
        </w:numPr>
        <w:spacing w:line="276" w:lineRule="auto"/>
        <w:contextualSpacing w:val="0"/>
        <w:rPr>
          <w:rFonts w:ascii="Times New Roman" w:hAnsi="Times New Roman" w:cs="Times New Roman"/>
          <w:szCs w:val="24"/>
        </w:rPr>
      </w:pPr>
      <w:r w:rsidRPr="00600AFD">
        <w:rPr>
          <w:rFonts w:ascii="Times New Roman" w:hAnsi="Times New Roman" w:cs="Times New Roman"/>
          <w:szCs w:val="24"/>
        </w:rPr>
        <w:t>Contributing to a more efficient work of the judiciary</w:t>
      </w:r>
      <w:r w:rsidR="000D7F85" w:rsidRPr="00600AFD">
        <w:rPr>
          <w:rFonts w:ascii="Times New Roman" w:hAnsi="Times New Roman" w:cs="Times New Roman"/>
          <w:szCs w:val="24"/>
        </w:rPr>
        <w:t xml:space="preserve"> as an indispensable e</w:t>
      </w:r>
      <w:r w:rsidR="000F3999">
        <w:rPr>
          <w:rFonts w:ascii="Times New Roman" w:hAnsi="Times New Roman" w:cs="Times New Roman"/>
          <w:szCs w:val="24"/>
        </w:rPr>
        <w:t>–</w:t>
      </w:r>
      <w:r w:rsidR="000D7F85" w:rsidRPr="00600AFD">
        <w:rPr>
          <w:rFonts w:ascii="Times New Roman" w:hAnsi="Times New Roman" w:cs="Times New Roman"/>
          <w:szCs w:val="24"/>
        </w:rPr>
        <w:t xml:space="preserve">tool </w:t>
      </w:r>
      <w:r w:rsidR="00AB36C1" w:rsidRPr="00600AFD">
        <w:rPr>
          <w:rFonts w:ascii="Times New Roman" w:hAnsi="Times New Roman" w:cs="Times New Roman"/>
          <w:szCs w:val="24"/>
        </w:rPr>
        <w:t xml:space="preserve">of case management </w:t>
      </w:r>
      <w:r w:rsidR="00286BA1" w:rsidRPr="00600AFD">
        <w:rPr>
          <w:rFonts w:ascii="Times New Roman" w:hAnsi="Times New Roman" w:cs="Times New Roman"/>
          <w:szCs w:val="24"/>
        </w:rPr>
        <w:t xml:space="preserve">and automatization of the </w:t>
      </w:r>
      <w:r w:rsidR="00333961" w:rsidRPr="00600AFD">
        <w:rPr>
          <w:rFonts w:ascii="Times New Roman" w:hAnsi="Times New Roman" w:cs="Times New Roman"/>
          <w:szCs w:val="24"/>
        </w:rPr>
        <w:t>judicial</w:t>
      </w:r>
      <w:r w:rsidR="00286BA1" w:rsidRPr="00600AFD">
        <w:rPr>
          <w:rFonts w:ascii="Times New Roman" w:hAnsi="Times New Roman" w:cs="Times New Roman"/>
          <w:szCs w:val="24"/>
        </w:rPr>
        <w:t xml:space="preserve"> processes</w:t>
      </w:r>
      <w:r w:rsidR="000D7F85" w:rsidRPr="00600AFD">
        <w:rPr>
          <w:rFonts w:ascii="Times New Roman" w:hAnsi="Times New Roman" w:cs="Times New Roman"/>
          <w:szCs w:val="24"/>
        </w:rPr>
        <w:t xml:space="preserve"> </w:t>
      </w:r>
      <w:r w:rsidR="00AB36C1" w:rsidRPr="00600AFD">
        <w:rPr>
          <w:rFonts w:ascii="Times New Roman" w:hAnsi="Times New Roman" w:cs="Times New Roman"/>
          <w:szCs w:val="24"/>
        </w:rPr>
        <w:t xml:space="preserve">(including evaluation of cases </w:t>
      </w:r>
      <w:r w:rsidR="006F1040" w:rsidRPr="00600AFD">
        <w:rPr>
          <w:rFonts w:ascii="Times New Roman" w:hAnsi="Times New Roman" w:cs="Times New Roman"/>
          <w:szCs w:val="24"/>
        </w:rPr>
        <w:t xml:space="preserve">in terms of their complexity and more efficient </w:t>
      </w:r>
      <w:r w:rsidR="00333961" w:rsidRPr="00600AFD">
        <w:rPr>
          <w:rFonts w:ascii="Times New Roman" w:hAnsi="Times New Roman" w:cs="Times New Roman"/>
          <w:szCs w:val="24"/>
        </w:rPr>
        <w:t xml:space="preserve">trial </w:t>
      </w:r>
      <w:r w:rsidR="001966CD" w:rsidRPr="00600AFD">
        <w:rPr>
          <w:rFonts w:ascii="Times New Roman" w:hAnsi="Times New Roman" w:cs="Times New Roman"/>
          <w:szCs w:val="24"/>
        </w:rPr>
        <w:t xml:space="preserve">hearing </w:t>
      </w:r>
      <w:r w:rsidR="006F1040" w:rsidRPr="00600AFD">
        <w:rPr>
          <w:rFonts w:ascii="Times New Roman" w:hAnsi="Times New Roman" w:cs="Times New Roman"/>
          <w:szCs w:val="24"/>
        </w:rPr>
        <w:t>scheduling</w:t>
      </w:r>
      <w:r w:rsidR="001966CD" w:rsidRPr="00600AFD">
        <w:rPr>
          <w:rFonts w:ascii="Times New Roman" w:hAnsi="Times New Roman" w:cs="Times New Roman"/>
          <w:szCs w:val="24"/>
        </w:rPr>
        <w:t xml:space="preserve">), </w:t>
      </w:r>
      <w:r w:rsidR="00135299" w:rsidRPr="00600AFD">
        <w:rPr>
          <w:rFonts w:ascii="Times New Roman" w:hAnsi="Times New Roman" w:cs="Times New Roman"/>
          <w:szCs w:val="24"/>
        </w:rPr>
        <w:t>the</w:t>
      </w:r>
      <w:r w:rsidR="001966CD" w:rsidRPr="00600AFD">
        <w:rPr>
          <w:rFonts w:ascii="Times New Roman" w:hAnsi="Times New Roman" w:cs="Times New Roman"/>
          <w:szCs w:val="24"/>
        </w:rPr>
        <w:t xml:space="preserve"> possibility to </w:t>
      </w:r>
      <w:r w:rsidR="003A424E" w:rsidRPr="00600AFD">
        <w:rPr>
          <w:rFonts w:ascii="Times New Roman" w:hAnsi="Times New Roman" w:cs="Times New Roman"/>
          <w:szCs w:val="24"/>
        </w:rPr>
        <w:t>file electronic submissions, exchange of data among judi</w:t>
      </w:r>
      <w:r w:rsidR="00D13921" w:rsidRPr="00600AFD">
        <w:rPr>
          <w:rFonts w:ascii="Times New Roman" w:hAnsi="Times New Roman" w:cs="Times New Roman"/>
          <w:szCs w:val="24"/>
        </w:rPr>
        <w:t>cial bodies</w:t>
      </w:r>
      <w:r w:rsidR="001C432C" w:rsidRPr="00600AFD">
        <w:rPr>
          <w:rFonts w:ascii="Times New Roman" w:hAnsi="Times New Roman" w:cs="Times New Roman"/>
          <w:szCs w:val="24"/>
        </w:rPr>
        <w:t>,</w:t>
      </w:r>
      <w:r w:rsidR="007E319F" w:rsidRPr="00600AFD">
        <w:rPr>
          <w:rStyle w:val="FootnoteReference"/>
          <w:rFonts w:ascii="Times New Roman" w:hAnsi="Times New Roman" w:cs="Times New Roman"/>
          <w:szCs w:val="24"/>
        </w:rPr>
        <w:footnoteReference w:id="36"/>
      </w:r>
      <w:r w:rsidR="00E9175B" w:rsidRPr="00600AFD">
        <w:rPr>
          <w:rFonts w:ascii="Times New Roman" w:hAnsi="Times New Roman" w:cs="Times New Roman"/>
          <w:szCs w:val="24"/>
        </w:rPr>
        <w:t xml:space="preserve"> </w:t>
      </w:r>
      <w:r w:rsidR="00433381" w:rsidRPr="00600AFD">
        <w:rPr>
          <w:rFonts w:ascii="Times New Roman" w:hAnsi="Times New Roman" w:cs="Times New Roman"/>
          <w:szCs w:val="24"/>
        </w:rPr>
        <w:t>recording of trials</w:t>
      </w:r>
      <w:r w:rsidR="00135299" w:rsidRPr="00600AFD">
        <w:rPr>
          <w:rFonts w:ascii="Times New Roman" w:hAnsi="Times New Roman" w:cs="Times New Roman"/>
          <w:szCs w:val="24"/>
        </w:rPr>
        <w:t>,</w:t>
      </w:r>
      <w:r w:rsidR="00433381" w:rsidRPr="00600AFD">
        <w:rPr>
          <w:rFonts w:ascii="Times New Roman" w:hAnsi="Times New Roman" w:cs="Times New Roman"/>
          <w:szCs w:val="24"/>
        </w:rPr>
        <w:t xml:space="preserve"> and electronic service of </w:t>
      </w:r>
      <w:r w:rsidR="00AB2ED6" w:rsidRPr="00600AFD">
        <w:rPr>
          <w:rFonts w:ascii="Times New Roman" w:hAnsi="Times New Roman" w:cs="Times New Roman"/>
          <w:szCs w:val="24"/>
        </w:rPr>
        <w:t xml:space="preserve">process of </w:t>
      </w:r>
      <w:r w:rsidR="00433381" w:rsidRPr="00600AFD">
        <w:rPr>
          <w:rFonts w:ascii="Times New Roman" w:hAnsi="Times New Roman" w:cs="Times New Roman"/>
          <w:szCs w:val="24"/>
        </w:rPr>
        <w:t xml:space="preserve">documents for the </w:t>
      </w:r>
      <w:r w:rsidR="00FE0FFD" w:rsidRPr="00600AFD">
        <w:rPr>
          <w:rFonts w:ascii="Times New Roman" w:hAnsi="Times New Roman" w:cs="Times New Roman"/>
          <w:szCs w:val="24"/>
        </w:rPr>
        <w:t xml:space="preserve">parties involved; </w:t>
      </w:r>
    </w:p>
    <w:p w14:paraId="5D60386D" w14:textId="77777777" w:rsidR="001C432C" w:rsidRPr="00600AFD" w:rsidRDefault="00D37EFB" w:rsidP="002673A2">
      <w:pPr>
        <w:pStyle w:val="ListParagraph"/>
        <w:numPr>
          <w:ilvl w:val="0"/>
          <w:numId w:val="11"/>
        </w:numPr>
        <w:spacing w:line="276" w:lineRule="auto"/>
        <w:contextualSpacing w:val="0"/>
        <w:rPr>
          <w:rFonts w:ascii="Times New Roman" w:hAnsi="Times New Roman" w:cs="Times New Roman"/>
          <w:szCs w:val="24"/>
        </w:rPr>
      </w:pPr>
      <w:r w:rsidRPr="00600AFD">
        <w:rPr>
          <w:rFonts w:ascii="Times New Roman" w:hAnsi="Times New Roman" w:cs="Times New Roman"/>
          <w:szCs w:val="24"/>
        </w:rPr>
        <w:t>Ensur</w:t>
      </w:r>
      <w:r w:rsidR="00135299" w:rsidRPr="00600AFD">
        <w:rPr>
          <w:rFonts w:ascii="Times New Roman" w:hAnsi="Times New Roman" w:cs="Times New Roman"/>
          <w:szCs w:val="24"/>
        </w:rPr>
        <w:t>ing the</w:t>
      </w:r>
      <w:r w:rsidRPr="00600AFD">
        <w:rPr>
          <w:rFonts w:ascii="Times New Roman" w:hAnsi="Times New Roman" w:cs="Times New Roman"/>
          <w:szCs w:val="24"/>
        </w:rPr>
        <w:t xml:space="preserve"> transparency of work of the judiciary through acc</w:t>
      </w:r>
      <w:r w:rsidR="0040472B" w:rsidRPr="00600AFD">
        <w:rPr>
          <w:rFonts w:ascii="Times New Roman" w:hAnsi="Times New Roman" w:cs="Times New Roman"/>
          <w:szCs w:val="24"/>
        </w:rPr>
        <w:t xml:space="preserve">essibility of regulations and case law, following of case proceedings, as well as reporting </w:t>
      </w:r>
      <w:r w:rsidR="00D13921" w:rsidRPr="00600AFD">
        <w:rPr>
          <w:rFonts w:ascii="Times New Roman" w:hAnsi="Times New Roman" w:cs="Times New Roman"/>
          <w:szCs w:val="24"/>
        </w:rPr>
        <w:t xml:space="preserve">on the work of judicial bodies and implementation of reforms; </w:t>
      </w:r>
    </w:p>
    <w:p w14:paraId="4F61A70E" w14:textId="0B31A8DB" w:rsidR="00A17E8E" w:rsidRPr="00600AFD" w:rsidRDefault="00D85FBD" w:rsidP="002673A2">
      <w:pPr>
        <w:pStyle w:val="ListParagraph"/>
        <w:numPr>
          <w:ilvl w:val="0"/>
          <w:numId w:val="11"/>
        </w:numPr>
        <w:spacing w:line="276" w:lineRule="auto"/>
        <w:contextualSpacing w:val="0"/>
        <w:rPr>
          <w:rFonts w:ascii="Times New Roman" w:hAnsi="Times New Roman" w:cs="Times New Roman"/>
          <w:szCs w:val="24"/>
        </w:rPr>
      </w:pPr>
      <w:r w:rsidRPr="00600AFD">
        <w:rPr>
          <w:rFonts w:ascii="Times New Roman" w:hAnsi="Times New Roman" w:cs="Times New Roman"/>
          <w:szCs w:val="24"/>
        </w:rPr>
        <w:t>Provid</w:t>
      </w:r>
      <w:r w:rsidR="00135299" w:rsidRPr="00600AFD">
        <w:rPr>
          <w:rFonts w:ascii="Times New Roman" w:hAnsi="Times New Roman" w:cs="Times New Roman"/>
          <w:szCs w:val="24"/>
        </w:rPr>
        <w:t>ing</w:t>
      </w:r>
      <w:r w:rsidRPr="00600AFD">
        <w:rPr>
          <w:rFonts w:ascii="Times New Roman" w:hAnsi="Times New Roman" w:cs="Times New Roman"/>
          <w:szCs w:val="24"/>
        </w:rPr>
        <w:t xml:space="preserve"> a more eff</w:t>
      </w:r>
      <w:r w:rsidR="00C6268A" w:rsidRPr="00600AFD">
        <w:rPr>
          <w:rFonts w:ascii="Times New Roman" w:hAnsi="Times New Roman" w:cs="Times New Roman"/>
          <w:szCs w:val="24"/>
        </w:rPr>
        <w:t>icient</w:t>
      </w:r>
      <w:r w:rsidRPr="00600AFD">
        <w:rPr>
          <w:rFonts w:ascii="Times New Roman" w:hAnsi="Times New Roman" w:cs="Times New Roman"/>
          <w:szCs w:val="24"/>
        </w:rPr>
        <w:t xml:space="preserve"> and </w:t>
      </w:r>
      <w:r w:rsidR="00C6268A" w:rsidRPr="00600AFD">
        <w:rPr>
          <w:rFonts w:ascii="Times New Roman" w:hAnsi="Times New Roman" w:cs="Times New Roman"/>
          <w:szCs w:val="24"/>
        </w:rPr>
        <w:t>cost</w:t>
      </w:r>
      <w:r w:rsidR="000F3999">
        <w:rPr>
          <w:rFonts w:ascii="Times New Roman" w:hAnsi="Times New Roman" w:cs="Times New Roman"/>
          <w:szCs w:val="24"/>
        </w:rPr>
        <w:t>–</w:t>
      </w:r>
      <w:r w:rsidR="00C6268A" w:rsidRPr="00600AFD">
        <w:rPr>
          <w:rFonts w:ascii="Times New Roman" w:hAnsi="Times New Roman" w:cs="Times New Roman"/>
          <w:szCs w:val="24"/>
        </w:rPr>
        <w:t>effective</w:t>
      </w:r>
      <w:r w:rsidRPr="00600AFD">
        <w:rPr>
          <w:rFonts w:ascii="Times New Roman" w:hAnsi="Times New Roman" w:cs="Times New Roman"/>
          <w:szCs w:val="24"/>
        </w:rPr>
        <w:t xml:space="preserve"> implementation of the professional development program </w:t>
      </w:r>
      <w:r w:rsidR="00A570B3" w:rsidRPr="00600AFD">
        <w:rPr>
          <w:rFonts w:ascii="Times New Roman" w:hAnsi="Times New Roman" w:cs="Times New Roman"/>
          <w:szCs w:val="24"/>
        </w:rPr>
        <w:t>using modern methods (</w:t>
      </w:r>
      <w:r w:rsidR="00135299" w:rsidRPr="00600AFD">
        <w:rPr>
          <w:rFonts w:ascii="Times New Roman" w:hAnsi="Times New Roman" w:cs="Times New Roman"/>
          <w:szCs w:val="24"/>
        </w:rPr>
        <w:t xml:space="preserve">e.g. </w:t>
      </w:r>
      <w:r w:rsidR="00A570B3" w:rsidRPr="00600AFD">
        <w:rPr>
          <w:rFonts w:ascii="Times New Roman" w:hAnsi="Times New Roman" w:cs="Times New Roman"/>
          <w:szCs w:val="24"/>
        </w:rPr>
        <w:t>“distance learning”)</w:t>
      </w:r>
      <w:r w:rsidR="00A17E8E" w:rsidRPr="00600AFD">
        <w:rPr>
          <w:rFonts w:ascii="Times New Roman" w:hAnsi="Times New Roman" w:cs="Times New Roman"/>
          <w:szCs w:val="24"/>
        </w:rPr>
        <w:t>;</w:t>
      </w:r>
    </w:p>
    <w:p w14:paraId="7052AEC8" w14:textId="09E6E697" w:rsidR="00E9175B" w:rsidRPr="00600AFD" w:rsidRDefault="00B349FF" w:rsidP="00A17E8E">
      <w:pPr>
        <w:pStyle w:val="ListParagraph"/>
        <w:numPr>
          <w:ilvl w:val="0"/>
          <w:numId w:val="11"/>
        </w:numPr>
        <w:spacing w:line="276" w:lineRule="auto"/>
        <w:contextualSpacing w:val="0"/>
        <w:rPr>
          <w:rFonts w:ascii="Times New Roman" w:hAnsi="Times New Roman" w:cs="Times New Roman"/>
          <w:szCs w:val="24"/>
        </w:rPr>
      </w:pPr>
      <w:r w:rsidRPr="00600AFD">
        <w:rPr>
          <w:rFonts w:ascii="Times New Roman" w:hAnsi="Times New Roman" w:cs="Times New Roman"/>
          <w:szCs w:val="24"/>
        </w:rPr>
        <w:t>Provid</w:t>
      </w:r>
      <w:r w:rsidR="00135299" w:rsidRPr="00600AFD">
        <w:rPr>
          <w:rFonts w:ascii="Times New Roman" w:hAnsi="Times New Roman" w:cs="Times New Roman"/>
          <w:szCs w:val="24"/>
        </w:rPr>
        <w:t>ing</w:t>
      </w:r>
      <w:r w:rsidRPr="00600AFD">
        <w:rPr>
          <w:rFonts w:ascii="Times New Roman" w:hAnsi="Times New Roman" w:cs="Times New Roman"/>
          <w:szCs w:val="24"/>
        </w:rPr>
        <w:t xml:space="preserve"> for collection and processing of statistical data necessary for preparation of reports and analyses in the process of monitoring </w:t>
      </w:r>
      <w:r w:rsidR="00FE5A8A" w:rsidRPr="00600AFD">
        <w:rPr>
          <w:rFonts w:ascii="Times New Roman" w:hAnsi="Times New Roman" w:cs="Times New Roman"/>
          <w:szCs w:val="24"/>
        </w:rPr>
        <w:t>of the implementation of law</w:t>
      </w:r>
      <w:r w:rsidR="00135299" w:rsidRPr="00600AFD">
        <w:rPr>
          <w:rFonts w:ascii="Times New Roman" w:hAnsi="Times New Roman" w:cs="Times New Roman"/>
          <w:szCs w:val="24"/>
        </w:rPr>
        <w:t>s</w:t>
      </w:r>
      <w:r w:rsidR="00FE5A8A" w:rsidRPr="00600AFD">
        <w:rPr>
          <w:rFonts w:ascii="Times New Roman" w:hAnsi="Times New Roman" w:cs="Times New Roman"/>
          <w:szCs w:val="24"/>
        </w:rPr>
        <w:t xml:space="preserve"> for the purpose of its </w:t>
      </w:r>
      <w:r w:rsidR="0058123F" w:rsidRPr="00600AFD">
        <w:rPr>
          <w:rFonts w:ascii="Times New Roman" w:hAnsi="Times New Roman" w:cs="Times New Roman"/>
          <w:szCs w:val="24"/>
        </w:rPr>
        <w:t>improvement</w:t>
      </w:r>
      <w:r w:rsidR="00FE5A8A" w:rsidRPr="00600AFD">
        <w:rPr>
          <w:rFonts w:ascii="Times New Roman" w:hAnsi="Times New Roman" w:cs="Times New Roman"/>
          <w:szCs w:val="24"/>
        </w:rPr>
        <w:t>, as well as monitoring of budget</w:t>
      </w:r>
      <w:r w:rsidR="000F3999">
        <w:rPr>
          <w:rFonts w:ascii="Times New Roman" w:hAnsi="Times New Roman" w:cs="Times New Roman"/>
          <w:szCs w:val="24"/>
        </w:rPr>
        <w:t>–</w:t>
      </w:r>
      <w:r w:rsidR="00FE5A8A" w:rsidRPr="00600AFD">
        <w:rPr>
          <w:rFonts w:ascii="Times New Roman" w:hAnsi="Times New Roman" w:cs="Times New Roman"/>
          <w:szCs w:val="24"/>
        </w:rPr>
        <w:t xml:space="preserve">related </w:t>
      </w:r>
      <w:r w:rsidR="00A83F73" w:rsidRPr="00600AFD">
        <w:rPr>
          <w:rFonts w:ascii="Times New Roman" w:hAnsi="Times New Roman" w:cs="Times New Roman"/>
          <w:szCs w:val="24"/>
        </w:rPr>
        <w:t>aspects</w:t>
      </w:r>
      <w:r w:rsidR="00FE5A8A" w:rsidRPr="00600AFD">
        <w:rPr>
          <w:rFonts w:ascii="Times New Roman" w:hAnsi="Times New Roman" w:cs="Times New Roman"/>
          <w:szCs w:val="24"/>
        </w:rPr>
        <w:t xml:space="preserve"> </w:t>
      </w:r>
      <w:r w:rsidR="004A5C2E" w:rsidRPr="00600AFD">
        <w:rPr>
          <w:rFonts w:ascii="Times New Roman" w:hAnsi="Times New Roman" w:cs="Times New Roman"/>
          <w:szCs w:val="24"/>
        </w:rPr>
        <w:t>of</w:t>
      </w:r>
      <w:r w:rsidR="00FE5A8A" w:rsidRPr="00600AFD">
        <w:rPr>
          <w:rFonts w:ascii="Times New Roman" w:hAnsi="Times New Roman" w:cs="Times New Roman"/>
          <w:szCs w:val="24"/>
        </w:rPr>
        <w:t xml:space="preserve"> the </w:t>
      </w:r>
      <w:r w:rsidR="00C319E5" w:rsidRPr="00600AFD">
        <w:rPr>
          <w:rFonts w:ascii="Times New Roman" w:hAnsi="Times New Roman" w:cs="Times New Roman"/>
          <w:szCs w:val="24"/>
        </w:rPr>
        <w:t xml:space="preserve">work of the judiciary. </w:t>
      </w:r>
    </w:p>
    <w:p w14:paraId="2F0821AC" w14:textId="0B3822CF" w:rsidR="00E9175B" w:rsidRPr="00600AFD" w:rsidRDefault="000836DF" w:rsidP="005D06D2">
      <w:pPr>
        <w:spacing w:line="276" w:lineRule="auto"/>
        <w:rPr>
          <w:rFonts w:ascii="Times New Roman" w:hAnsi="Times New Roman" w:cs="Times New Roman"/>
          <w:szCs w:val="24"/>
        </w:rPr>
      </w:pPr>
      <w:r w:rsidRPr="00600AFD">
        <w:rPr>
          <w:rFonts w:ascii="Times New Roman" w:hAnsi="Times New Roman" w:cs="Times New Roman"/>
          <w:szCs w:val="24"/>
        </w:rPr>
        <w:t>Application of modern ICT</w:t>
      </w:r>
      <w:r w:rsidR="00E9175B" w:rsidRPr="00600AFD">
        <w:rPr>
          <w:rFonts w:ascii="Times New Roman" w:hAnsi="Times New Roman" w:cs="Times New Roman"/>
          <w:szCs w:val="24"/>
        </w:rPr>
        <w:t xml:space="preserve">, </w:t>
      </w:r>
      <w:r w:rsidRPr="00600AFD">
        <w:rPr>
          <w:rFonts w:ascii="Times New Roman" w:hAnsi="Times New Roman" w:cs="Times New Roman"/>
          <w:szCs w:val="24"/>
        </w:rPr>
        <w:t xml:space="preserve">standardized software and </w:t>
      </w:r>
      <w:r w:rsidR="00157EB2" w:rsidRPr="00600AFD">
        <w:rPr>
          <w:rFonts w:ascii="Times New Roman" w:hAnsi="Times New Roman" w:cs="Times New Roman"/>
          <w:szCs w:val="24"/>
        </w:rPr>
        <w:t>centralized</w:t>
      </w:r>
      <w:r w:rsidRPr="00600AFD">
        <w:rPr>
          <w:rFonts w:ascii="Times New Roman" w:hAnsi="Times New Roman" w:cs="Times New Roman"/>
          <w:szCs w:val="24"/>
        </w:rPr>
        <w:t xml:space="preserve"> systems for case management </w:t>
      </w:r>
      <w:r w:rsidR="00C6268A" w:rsidRPr="00600AFD">
        <w:rPr>
          <w:rFonts w:ascii="Times New Roman" w:hAnsi="Times New Roman" w:cs="Times New Roman"/>
          <w:szCs w:val="24"/>
        </w:rPr>
        <w:t>in</w:t>
      </w:r>
      <w:r w:rsidRPr="00600AFD">
        <w:rPr>
          <w:rFonts w:ascii="Times New Roman" w:hAnsi="Times New Roman" w:cs="Times New Roman"/>
          <w:szCs w:val="24"/>
        </w:rPr>
        <w:t xml:space="preserve"> courts and prosecutors’ offices are </w:t>
      </w:r>
      <w:r w:rsidR="00157EB2" w:rsidRPr="00600AFD">
        <w:rPr>
          <w:rFonts w:ascii="Times New Roman" w:hAnsi="Times New Roman" w:cs="Times New Roman"/>
          <w:szCs w:val="24"/>
        </w:rPr>
        <w:t>necessary</w:t>
      </w:r>
      <w:r w:rsidRPr="00600AFD">
        <w:rPr>
          <w:rFonts w:ascii="Times New Roman" w:hAnsi="Times New Roman" w:cs="Times New Roman"/>
          <w:szCs w:val="24"/>
        </w:rPr>
        <w:t xml:space="preserve"> to implement key </w:t>
      </w:r>
      <w:r w:rsidR="00B5524C" w:rsidRPr="00600AFD">
        <w:rPr>
          <w:rFonts w:ascii="Times New Roman" w:hAnsi="Times New Roman" w:cs="Times New Roman"/>
          <w:szCs w:val="24"/>
        </w:rPr>
        <w:t xml:space="preserve">tenets of an effective judiciary: independence, impartiality, accountability, competence, efficiency and transparency. </w:t>
      </w:r>
      <w:r w:rsidR="00C6268A" w:rsidRPr="00600AFD">
        <w:rPr>
          <w:rFonts w:ascii="Times New Roman" w:hAnsi="Times New Roman" w:cs="Times New Roman"/>
          <w:szCs w:val="24"/>
        </w:rPr>
        <w:t xml:space="preserve">Therefore, </w:t>
      </w:r>
      <w:r w:rsidR="00D80A2B" w:rsidRPr="00600AFD">
        <w:rPr>
          <w:rFonts w:ascii="Times New Roman" w:hAnsi="Times New Roman" w:cs="Times New Roman"/>
          <w:szCs w:val="24"/>
        </w:rPr>
        <w:t>continuous development of e</w:t>
      </w:r>
      <w:r w:rsidR="000F3999">
        <w:rPr>
          <w:rFonts w:ascii="Times New Roman" w:hAnsi="Times New Roman" w:cs="Times New Roman"/>
          <w:szCs w:val="24"/>
        </w:rPr>
        <w:t>–</w:t>
      </w:r>
      <w:r w:rsidR="00C6268A" w:rsidRPr="00600AFD">
        <w:rPr>
          <w:rFonts w:ascii="Times New Roman" w:hAnsi="Times New Roman" w:cs="Times New Roman"/>
          <w:szCs w:val="24"/>
        </w:rPr>
        <w:t>J</w:t>
      </w:r>
      <w:r w:rsidR="00D80A2B" w:rsidRPr="00600AFD">
        <w:rPr>
          <w:rFonts w:ascii="Times New Roman" w:hAnsi="Times New Roman" w:cs="Times New Roman"/>
          <w:szCs w:val="24"/>
        </w:rPr>
        <w:t>u</w:t>
      </w:r>
      <w:r w:rsidR="00C6268A" w:rsidRPr="00600AFD">
        <w:rPr>
          <w:rFonts w:ascii="Times New Roman" w:hAnsi="Times New Roman" w:cs="Times New Roman"/>
          <w:szCs w:val="24"/>
        </w:rPr>
        <w:t>stice</w:t>
      </w:r>
      <w:r w:rsidR="00D80A2B" w:rsidRPr="00600AFD">
        <w:rPr>
          <w:rFonts w:ascii="Times New Roman" w:hAnsi="Times New Roman" w:cs="Times New Roman"/>
          <w:szCs w:val="24"/>
        </w:rPr>
        <w:t xml:space="preserve"> is necessary</w:t>
      </w:r>
      <w:r w:rsidR="00B11579" w:rsidRPr="00600AFD">
        <w:rPr>
          <w:rFonts w:ascii="Times New Roman" w:hAnsi="Times New Roman" w:cs="Times New Roman"/>
          <w:szCs w:val="24"/>
        </w:rPr>
        <w:t xml:space="preserve">, as well as development of mechanisms contributing to the </w:t>
      </w:r>
      <w:r w:rsidR="00AD3358" w:rsidRPr="00600AFD">
        <w:rPr>
          <w:rFonts w:ascii="Times New Roman" w:hAnsi="Times New Roman" w:cs="Times New Roman"/>
          <w:szCs w:val="24"/>
        </w:rPr>
        <w:t xml:space="preserve">achievement of all strategic objectives. </w:t>
      </w:r>
    </w:p>
    <w:p w14:paraId="6600966E" w14:textId="1D717A41" w:rsidR="00E9175B" w:rsidRPr="00600AFD" w:rsidRDefault="0096512F" w:rsidP="005D06D2">
      <w:pPr>
        <w:spacing w:line="276" w:lineRule="auto"/>
        <w:rPr>
          <w:rFonts w:ascii="Times New Roman" w:hAnsi="Times New Roman" w:cs="Times New Roman"/>
          <w:szCs w:val="24"/>
        </w:rPr>
      </w:pPr>
      <w:r w:rsidRPr="00600AFD">
        <w:rPr>
          <w:rFonts w:ascii="Times New Roman" w:hAnsi="Times New Roman" w:cs="Times New Roman"/>
          <w:szCs w:val="24"/>
        </w:rPr>
        <w:t>Pursuant to the EU initiative for global e</w:t>
      </w:r>
      <w:r w:rsidR="000F3999">
        <w:rPr>
          <w:rFonts w:ascii="Times New Roman" w:hAnsi="Times New Roman" w:cs="Times New Roman"/>
          <w:szCs w:val="24"/>
        </w:rPr>
        <w:t>–</w:t>
      </w:r>
      <w:r w:rsidRPr="00600AFD">
        <w:rPr>
          <w:rFonts w:ascii="Times New Roman" w:hAnsi="Times New Roman" w:cs="Times New Roman"/>
          <w:szCs w:val="24"/>
        </w:rPr>
        <w:t>Justice</w:t>
      </w:r>
      <w:r w:rsidR="00C274E1" w:rsidRPr="00600AFD">
        <w:rPr>
          <w:rFonts w:ascii="Times New Roman" w:hAnsi="Times New Roman" w:cs="Times New Roman"/>
          <w:szCs w:val="24"/>
        </w:rPr>
        <w:t xml:space="preserve"> and taking </w:t>
      </w:r>
      <w:r w:rsidR="007866E3" w:rsidRPr="00600AFD">
        <w:rPr>
          <w:rFonts w:ascii="Times New Roman" w:hAnsi="Times New Roman" w:cs="Times New Roman"/>
          <w:szCs w:val="24"/>
        </w:rPr>
        <w:t>2013</w:t>
      </w:r>
      <w:r w:rsidR="000F3999">
        <w:rPr>
          <w:rFonts w:ascii="Times New Roman" w:hAnsi="Times New Roman" w:cs="Times New Roman"/>
          <w:szCs w:val="24"/>
        </w:rPr>
        <w:t>–</w:t>
      </w:r>
      <w:r w:rsidR="007866E3" w:rsidRPr="00600AFD">
        <w:rPr>
          <w:rFonts w:ascii="Times New Roman" w:hAnsi="Times New Roman" w:cs="Times New Roman"/>
          <w:szCs w:val="24"/>
        </w:rPr>
        <w:t>2018 NJRS</w:t>
      </w:r>
      <w:r w:rsidR="00C274E1" w:rsidRPr="00600AFD">
        <w:rPr>
          <w:rFonts w:ascii="Times New Roman" w:hAnsi="Times New Roman" w:cs="Times New Roman"/>
          <w:szCs w:val="24"/>
        </w:rPr>
        <w:t xml:space="preserve"> and the action plan </w:t>
      </w:r>
      <w:r w:rsidR="00F65D3D" w:rsidRPr="00600AFD">
        <w:rPr>
          <w:rFonts w:ascii="Times New Roman" w:hAnsi="Times New Roman" w:cs="Times New Roman"/>
          <w:szCs w:val="24"/>
        </w:rPr>
        <w:t>for its implementation as a starting point, a system for e</w:t>
      </w:r>
      <w:r w:rsidR="000F3999">
        <w:rPr>
          <w:rFonts w:ascii="Times New Roman" w:hAnsi="Times New Roman" w:cs="Times New Roman"/>
          <w:szCs w:val="24"/>
        </w:rPr>
        <w:t>–</w:t>
      </w:r>
      <w:r w:rsidR="00F65D3D" w:rsidRPr="00600AFD">
        <w:rPr>
          <w:rFonts w:ascii="Times New Roman" w:hAnsi="Times New Roman" w:cs="Times New Roman"/>
          <w:szCs w:val="24"/>
        </w:rPr>
        <w:t xml:space="preserve">Justice has been established </w:t>
      </w:r>
      <w:r w:rsidR="00135299" w:rsidRPr="00600AFD">
        <w:rPr>
          <w:rFonts w:ascii="Times New Roman" w:hAnsi="Times New Roman" w:cs="Times New Roman"/>
          <w:szCs w:val="24"/>
        </w:rPr>
        <w:t>that</w:t>
      </w:r>
      <w:r w:rsidR="00F65D3D" w:rsidRPr="00600AFD">
        <w:rPr>
          <w:rFonts w:ascii="Times New Roman" w:hAnsi="Times New Roman" w:cs="Times New Roman"/>
          <w:szCs w:val="24"/>
        </w:rPr>
        <w:t xml:space="preserve"> significantly contributes to an increase in </w:t>
      </w:r>
      <w:r w:rsidR="00B94519" w:rsidRPr="00600AFD">
        <w:rPr>
          <w:rFonts w:ascii="Times New Roman" w:hAnsi="Times New Roman" w:cs="Times New Roman"/>
          <w:szCs w:val="24"/>
        </w:rPr>
        <w:t xml:space="preserve">efficiency of the judiciary. </w:t>
      </w:r>
      <w:r w:rsidR="00AB342C" w:rsidRPr="00600AFD">
        <w:rPr>
          <w:rFonts w:ascii="Times New Roman" w:hAnsi="Times New Roman" w:cs="Times New Roman"/>
          <w:szCs w:val="24"/>
        </w:rPr>
        <w:t xml:space="preserve">The </w:t>
      </w:r>
      <w:r w:rsidR="00B94519" w:rsidRPr="00600AFD">
        <w:rPr>
          <w:rFonts w:ascii="Times New Roman" w:hAnsi="Times New Roman" w:cs="Times New Roman"/>
          <w:szCs w:val="24"/>
        </w:rPr>
        <w:t>e</w:t>
      </w:r>
      <w:r w:rsidR="000F3999">
        <w:rPr>
          <w:rFonts w:ascii="Times New Roman" w:hAnsi="Times New Roman" w:cs="Times New Roman"/>
          <w:szCs w:val="24"/>
        </w:rPr>
        <w:t>–</w:t>
      </w:r>
      <w:r w:rsidR="00B94519" w:rsidRPr="00600AFD">
        <w:rPr>
          <w:rFonts w:ascii="Times New Roman" w:hAnsi="Times New Roman" w:cs="Times New Roman"/>
          <w:szCs w:val="24"/>
        </w:rPr>
        <w:t>Justice</w:t>
      </w:r>
      <w:r w:rsidR="00E9175B" w:rsidRPr="00600AFD">
        <w:rPr>
          <w:rFonts w:ascii="Times New Roman" w:hAnsi="Times New Roman" w:cs="Times New Roman"/>
          <w:szCs w:val="24"/>
        </w:rPr>
        <w:t xml:space="preserve"> </w:t>
      </w:r>
      <w:r w:rsidR="00135299" w:rsidRPr="00600AFD">
        <w:rPr>
          <w:rFonts w:ascii="Times New Roman" w:hAnsi="Times New Roman" w:cs="Times New Roman"/>
          <w:szCs w:val="24"/>
        </w:rPr>
        <w:t xml:space="preserve">system </w:t>
      </w:r>
      <w:r w:rsidR="00AB342C" w:rsidRPr="00600AFD">
        <w:rPr>
          <w:rFonts w:ascii="Times New Roman" w:hAnsi="Times New Roman" w:cs="Times New Roman"/>
          <w:szCs w:val="24"/>
        </w:rPr>
        <w:t xml:space="preserve">provides a complete integrated system </w:t>
      </w:r>
      <w:r w:rsidR="00135299" w:rsidRPr="00600AFD">
        <w:rPr>
          <w:rFonts w:ascii="Times New Roman" w:hAnsi="Times New Roman" w:cs="Times New Roman"/>
          <w:szCs w:val="24"/>
        </w:rPr>
        <w:t>that</w:t>
      </w:r>
      <w:r w:rsidR="00AB342C" w:rsidRPr="00600AFD">
        <w:rPr>
          <w:rFonts w:ascii="Times New Roman" w:hAnsi="Times New Roman" w:cs="Times New Roman"/>
          <w:szCs w:val="24"/>
        </w:rPr>
        <w:t xml:space="preserve"> supports basic processes and operational activities of judicial </w:t>
      </w:r>
      <w:r w:rsidR="00AB342C" w:rsidRPr="00600AFD">
        <w:rPr>
          <w:rFonts w:ascii="Times New Roman" w:hAnsi="Times New Roman" w:cs="Times New Roman"/>
          <w:szCs w:val="24"/>
        </w:rPr>
        <w:lastRenderedPageBreak/>
        <w:t>organs</w:t>
      </w:r>
      <w:r w:rsidR="008267F5" w:rsidRPr="00600AFD">
        <w:rPr>
          <w:rFonts w:ascii="Times New Roman" w:hAnsi="Times New Roman" w:cs="Times New Roman"/>
          <w:szCs w:val="24"/>
        </w:rPr>
        <w:t xml:space="preserve">, as well as </w:t>
      </w:r>
      <w:r w:rsidR="00797F4C" w:rsidRPr="00600AFD">
        <w:rPr>
          <w:rFonts w:ascii="Times New Roman" w:hAnsi="Times New Roman" w:cs="Times New Roman"/>
          <w:szCs w:val="24"/>
        </w:rPr>
        <w:t xml:space="preserve">it </w:t>
      </w:r>
      <w:r w:rsidR="00135299" w:rsidRPr="00600AFD">
        <w:rPr>
          <w:rFonts w:ascii="Times New Roman" w:hAnsi="Times New Roman" w:cs="Times New Roman"/>
          <w:szCs w:val="24"/>
        </w:rPr>
        <w:t>provid</w:t>
      </w:r>
      <w:r w:rsidR="00797F4C" w:rsidRPr="00600AFD">
        <w:rPr>
          <w:rFonts w:ascii="Times New Roman" w:hAnsi="Times New Roman" w:cs="Times New Roman"/>
          <w:szCs w:val="24"/>
        </w:rPr>
        <w:t>es</w:t>
      </w:r>
      <w:r w:rsidR="00135299" w:rsidRPr="00600AFD">
        <w:rPr>
          <w:rFonts w:ascii="Times New Roman" w:hAnsi="Times New Roman" w:cs="Times New Roman"/>
          <w:szCs w:val="24"/>
        </w:rPr>
        <w:t xml:space="preserve"> </w:t>
      </w:r>
      <w:r w:rsidR="008267F5" w:rsidRPr="00600AFD">
        <w:rPr>
          <w:rFonts w:ascii="Times New Roman" w:hAnsi="Times New Roman" w:cs="Times New Roman"/>
          <w:szCs w:val="24"/>
        </w:rPr>
        <w:t>the basis for performance appraisal</w:t>
      </w:r>
      <w:r w:rsidR="00135299" w:rsidRPr="00600AFD">
        <w:rPr>
          <w:rFonts w:ascii="Times New Roman" w:hAnsi="Times New Roman" w:cs="Times New Roman"/>
          <w:szCs w:val="24"/>
        </w:rPr>
        <w:t>s</w:t>
      </w:r>
      <w:r w:rsidR="001B010C" w:rsidRPr="00600AFD">
        <w:rPr>
          <w:rFonts w:ascii="Times New Roman" w:hAnsi="Times New Roman" w:cs="Times New Roman"/>
          <w:szCs w:val="24"/>
        </w:rPr>
        <w:t xml:space="preserve">. Standards and indicators for </w:t>
      </w:r>
      <w:r w:rsidR="002E5EC0" w:rsidRPr="00600AFD">
        <w:rPr>
          <w:rFonts w:ascii="Times New Roman" w:hAnsi="Times New Roman" w:cs="Times New Roman"/>
          <w:szCs w:val="24"/>
        </w:rPr>
        <w:t xml:space="preserve">measuring the degree of implemented reform objectives are defined by the judiciary itself. </w:t>
      </w:r>
    </w:p>
    <w:p w14:paraId="3F97D6B9" w14:textId="24F435B9" w:rsidR="002E44D1" w:rsidRPr="00600AFD" w:rsidRDefault="002E5EC0" w:rsidP="005D06D2">
      <w:pPr>
        <w:spacing w:line="276" w:lineRule="auto"/>
        <w:rPr>
          <w:rFonts w:ascii="Times New Roman" w:hAnsi="Times New Roman" w:cs="Times New Roman"/>
          <w:color w:val="000000" w:themeColor="text1"/>
          <w:szCs w:val="24"/>
        </w:rPr>
      </w:pPr>
      <w:r w:rsidRPr="00600AFD">
        <w:rPr>
          <w:rFonts w:ascii="Times New Roman" w:hAnsi="Times New Roman" w:cs="Times New Roman"/>
          <w:color w:val="000000" w:themeColor="text1"/>
          <w:szCs w:val="24"/>
        </w:rPr>
        <w:t>In the previous period</w:t>
      </w:r>
      <w:r w:rsidR="00AB1FBC" w:rsidRPr="00600AFD">
        <w:rPr>
          <w:rFonts w:ascii="Times New Roman" w:hAnsi="Times New Roman" w:cs="Times New Roman"/>
          <w:color w:val="000000" w:themeColor="text1"/>
          <w:szCs w:val="24"/>
        </w:rPr>
        <w:t>, significant progress has been made i</w:t>
      </w:r>
      <w:r w:rsidR="006627C8" w:rsidRPr="00600AFD">
        <w:rPr>
          <w:rFonts w:ascii="Times New Roman" w:hAnsi="Times New Roman" w:cs="Times New Roman"/>
          <w:color w:val="000000" w:themeColor="text1"/>
          <w:szCs w:val="24"/>
        </w:rPr>
        <w:t>n advancing ICT systems in the judiciary</w:t>
      </w:r>
      <w:r w:rsidR="00BF71B7" w:rsidRPr="00600AFD">
        <w:rPr>
          <w:rFonts w:ascii="Times New Roman" w:hAnsi="Times New Roman" w:cs="Times New Roman"/>
          <w:color w:val="000000" w:themeColor="text1"/>
          <w:szCs w:val="24"/>
        </w:rPr>
        <w:t xml:space="preserve"> through projects implemented by the Ministry of Justice</w:t>
      </w:r>
      <w:r w:rsidR="00135299" w:rsidRPr="00600AFD">
        <w:rPr>
          <w:rFonts w:ascii="Times New Roman" w:hAnsi="Times New Roman" w:cs="Times New Roman"/>
          <w:color w:val="000000" w:themeColor="text1"/>
          <w:szCs w:val="24"/>
        </w:rPr>
        <w:t xml:space="preserve"> </w:t>
      </w:r>
      <w:r w:rsidR="000F3999">
        <w:rPr>
          <w:rFonts w:ascii="Times New Roman" w:hAnsi="Times New Roman" w:cs="Times New Roman"/>
          <w:color w:val="000000" w:themeColor="text1"/>
          <w:szCs w:val="24"/>
        </w:rPr>
        <w:t>–</w:t>
      </w:r>
      <w:r w:rsidR="00135299" w:rsidRPr="00600AFD">
        <w:rPr>
          <w:rFonts w:ascii="Times New Roman" w:hAnsi="Times New Roman" w:cs="Times New Roman"/>
          <w:color w:val="000000" w:themeColor="text1"/>
          <w:szCs w:val="24"/>
        </w:rPr>
        <w:t xml:space="preserve"> </w:t>
      </w:r>
      <w:r w:rsidR="00BF71B7" w:rsidRPr="00600AFD">
        <w:rPr>
          <w:rFonts w:ascii="Times New Roman" w:hAnsi="Times New Roman" w:cs="Times New Roman"/>
          <w:color w:val="000000" w:themeColor="text1"/>
          <w:szCs w:val="24"/>
        </w:rPr>
        <w:t>Division for e</w:t>
      </w:r>
      <w:r w:rsidR="000F3999">
        <w:rPr>
          <w:rFonts w:ascii="Times New Roman" w:hAnsi="Times New Roman" w:cs="Times New Roman"/>
          <w:color w:val="000000" w:themeColor="text1"/>
          <w:szCs w:val="24"/>
        </w:rPr>
        <w:t>–</w:t>
      </w:r>
      <w:r w:rsidR="00135299" w:rsidRPr="00600AFD">
        <w:rPr>
          <w:rFonts w:ascii="Times New Roman" w:hAnsi="Times New Roman" w:cs="Times New Roman"/>
          <w:color w:val="000000" w:themeColor="text1"/>
          <w:szCs w:val="24"/>
        </w:rPr>
        <w:t xml:space="preserve">Justice </w:t>
      </w:r>
      <w:r w:rsidR="006627C8" w:rsidRPr="00600AFD">
        <w:rPr>
          <w:rFonts w:ascii="Times New Roman" w:hAnsi="Times New Roman" w:cs="Times New Roman"/>
          <w:color w:val="000000" w:themeColor="text1"/>
          <w:szCs w:val="24"/>
        </w:rPr>
        <w:t xml:space="preserve">Development initiatives </w:t>
      </w:r>
      <w:r w:rsidR="00843939" w:rsidRPr="00600AFD">
        <w:rPr>
          <w:rFonts w:ascii="Times New Roman" w:hAnsi="Times New Roman" w:cs="Times New Roman"/>
          <w:color w:val="000000" w:themeColor="text1"/>
          <w:szCs w:val="24"/>
        </w:rPr>
        <w:t xml:space="preserve">designed to enhance </w:t>
      </w:r>
      <w:r w:rsidR="00BF71B7" w:rsidRPr="00600AFD">
        <w:rPr>
          <w:rFonts w:ascii="Times New Roman" w:hAnsi="Times New Roman" w:cs="Times New Roman"/>
          <w:color w:val="000000" w:themeColor="text1"/>
          <w:szCs w:val="24"/>
        </w:rPr>
        <w:t xml:space="preserve">applications </w:t>
      </w:r>
      <w:r w:rsidR="00843939" w:rsidRPr="00600AFD">
        <w:rPr>
          <w:rFonts w:ascii="Times New Roman" w:hAnsi="Times New Roman" w:cs="Times New Roman"/>
          <w:color w:val="000000" w:themeColor="text1"/>
          <w:szCs w:val="24"/>
        </w:rPr>
        <w:t>have been im</w:t>
      </w:r>
      <w:r w:rsidR="00174A0C" w:rsidRPr="00600AFD">
        <w:rPr>
          <w:rFonts w:ascii="Times New Roman" w:hAnsi="Times New Roman" w:cs="Times New Roman"/>
          <w:color w:val="000000" w:themeColor="text1"/>
          <w:szCs w:val="24"/>
        </w:rPr>
        <w:t>p</w:t>
      </w:r>
      <w:r w:rsidR="00843939" w:rsidRPr="00600AFD">
        <w:rPr>
          <w:rFonts w:ascii="Times New Roman" w:hAnsi="Times New Roman" w:cs="Times New Roman"/>
          <w:color w:val="000000" w:themeColor="text1"/>
          <w:szCs w:val="24"/>
        </w:rPr>
        <w:t>lemente</w:t>
      </w:r>
      <w:r w:rsidR="00BF71B7" w:rsidRPr="00600AFD">
        <w:rPr>
          <w:rFonts w:ascii="Times New Roman" w:hAnsi="Times New Roman" w:cs="Times New Roman"/>
          <w:color w:val="000000" w:themeColor="text1"/>
          <w:szCs w:val="24"/>
        </w:rPr>
        <w:t>d;</w:t>
      </w:r>
      <w:r w:rsidR="00F83D80" w:rsidRPr="00600AFD">
        <w:rPr>
          <w:rFonts w:ascii="Times New Roman" w:hAnsi="Times New Roman" w:cs="Times New Roman"/>
          <w:color w:val="000000" w:themeColor="text1"/>
          <w:szCs w:val="24"/>
        </w:rPr>
        <w:t xml:space="preserve"> </w:t>
      </w:r>
      <w:r w:rsidR="004A5C2E" w:rsidRPr="00600AFD">
        <w:rPr>
          <w:rFonts w:ascii="Times New Roman" w:hAnsi="Times New Roman" w:cs="Times New Roman"/>
          <w:color w:val="000000" w:themeColor="text1"/>
          <w:szCs w:val="24"/>
        </w:rPr>
        <w:t>e</w:t>
      </w:r>
      <w:r w:rsidR="00BF71B7" w:rsidRPr="00600AFD">
        <w:rPr>
          <w:rFonts w:ascii="Times New Roman" w:hAnsi="Times New Roman" w:cs="Times New Roman"/>
          <w:color w:val="000000" w:themeColor="text1"/>
          <w:szCs w:val="24"/>
        </w:rPr>
        <w:t xml:space="preserve">lectronic exchange of data and centralized statistical reporting </w:t>
      </w:r>
      <w:r w:rsidR="00174A0C" w:rsidRPr="00600AFD">
        <w:rPr>
          <w:rFonts w:ascii="Times New Roman" w:hAnsi="Times New Roman" w:cs="Times New Roman"/>
          <w:color w:val="000000" w:themeColor="text1"/>
          <w:szCs w:val="24"/>
        </w:rPr>
        <w:t xml:space="preserve">have been </w:t>
      </w:r>
      <w:r w:rsidR="00BF71B7" w:rsidRPr="00600AFD">
        <w:rPr>
          <w:rFonts w:ascii="Times New Roman" w:hAnsi="Times New Roman" w:cs="Times New Roman"/>
          <w:color w:val="000000" w:themeColor="text1"/>
          <w:szCs w:val="24"/>
        </w:rPr>
        <w:t xml:space="preserve">introduced; security and management of ICT infrastructure have been advanced; network, registers and databases have been established; and </w:t>
      </w:r>
      <w:r w:rsidR="00F83D80" w:rsidRPr="00600AFD">
        <w:rPr>
          <w:rFonts w:ascii="Times New Roman" w:hAnsi="Times New Roman" w:cs="Times New Roman"/>
          <w:color w:val="000000" w:themeColor="text1"/>
          <w:szCs w:val="24"/>
        </w:rPr>
        <w:t xml:space="preserve">the </w:t>
      </w:r>
      <w:r w:rsidR="001E350F" w:rsidRPr="00600AFD">
        <w:rPr>
          <w:rFonts w:ascii="Times New Roman" w:hAnsi="Times New Roman" w:cs="Times New Roman"/>
          <w:color w:val="000000" w:themeColor="text1"/>
          <w:szCs w:val="24"/>
        </w:rPr>
        <w:t xml:space="preserve">working environment for end users </w:t>
      </w:r>
      <w:r w:rsidR="00C6268A" w:rsidRPr="00600AFD">
        <w:rPr>
          <w:rFonts w:ascii="Times New Roman" w:hAnsi="Times New Roman" w:cs="Times New Roman"/>
          <w:color w:val="000000" w:themeColor="text1"/>
          <w:szCs w:val="24"/>
        </w:rPr>
        <w:t>in</w:t>
      </w:r>
      <w:r w:rsidR="001E350F" w:rsidRPr="00600AFD">
        <w:rPr>
          <w:rFonts w:ascii="Times New Roman" w:hAnsi="Times New Roman" w:cs="Times New Roman"/>
          <w:color w:val="000000" w:themeColor="text1"/>
          <w:szCs w:val="24"/>
        </w:rPr>
        <w:t xml:space="preserve"> judicial institutions </w:t>
      </w:r>
      <w:r w:rsidR="00896CC0" w:rsidRPr="00600AFD">
        <w:rPr>
          <w:rFonts w:ascii="Times New Roman" w:hAnsi="Times New Roman" w:cs="Times New Roman"/>
          <w:color w:val="000000" w:themeColor="text1"/>
          <w:szCs w:val="24"/>
        </w:rPr>
        <w:t>has been improved. The ICT system infrastructure</w:t>
      </w:r>
      <w:r w:rsidR="00484E99" w:rsidRPr="00600AFD">
        <w:rPr>
          <w:rFonts w:ascii="Times New Roman" w:hAnsi="Times New Roman" w:cs="Times New Roman"/>
          <w:color w:val="000000" w:themeColor="text1"/>
          <w:szCs w:val="24"/>
        </w:rPr>
        <w:t xml:space="preserve">, which needs to be continuously upgraded, </w:t>
      </w:r>
      <w:r w:rsidR="00896CC0" w:rsidRPr="00600AFD">
        <w:rPr>
          <w:rFonts w:ascii="Times New Roman" w:hAnsi="Times New Roman" w:cs="Times New Roman"/>
          <w:color w:val="000000" w:themeColor="text1"/>
          <w:szCs w:val="24"/>
        </w:rPr>
        <w:t xml:space="preserve">has been considerably </w:t>
      </w:r>
      <w:r w:rsidR="0098120E" w:rsidRPr="00600AFD">
        <w:rPr>
          <w:rFonts w:ascii="Times New Roman" w:hAnsi="Times New Roman" w:cs="Times New Roman"/>
          <w:color w:val="000000" w:themeColor="text1"/>
          <w:szCs w:val="24"/>
        </w:rPr>
        <w:t>enhanced</w:t>
      </w:r>
      <w:r w:rsidR="00484E99" w:rsidRPr="00600AFD">
        <w:rPr>
          <w:rFonts w:ascii="Times New Roman" w:hAnsi="Times New Roman" w:cs="Times New Roman"/>
          <w:color w:val="000000" w:themeColor="text1"/>
          <w:szCs w:val="24"/>
        </w:rPr>
        <w:t xml:space="preserve">. </w:t>
      </w:r>
    </w:p>
    <w:p w14:paraId="3F154C1A" w14:textId="564108A5" w:rsidR="002E44D1" w:rsidRPr="00600AFD" w:rsidRDefault="005D5806" w:rsidP="005D06D2">
      <w:pPr>
        <w:spacing w:line="276" w:lineRule="auto"/>
        <w:rPr>
          <w:rFonts w:ascii="Times New Roman" w:hAnsi="Times New Roman" w:cs="Times New Roman"/>
          <w:color w:val="000000" w:themeColor="text1"/>
          <w:szCs w:val="24"/>
        </w:rPr>
      </w:pPr>
      <w:r w:rsidRPr="00600AFD">
        <w:rPr>
          <w:rFonts w:ascii="Times New Roman" w:hAnsi="Times New Roman" w:cs="Times New Roman"/>
          <w:color w:val="000000" w:themeColor="text1"/>
          <w:szCs w:val="24"/>
        </w:rPr>
        <w:t xml:space="preserve">The Ministry of Justice has also provided support </w:t>
      </w:r>
      <w:r w:rsidR="00484E99" w:rsidRPr="00600AFD">
        <w:rPr>
          <w:rFonts w:ascii="Times New Roman" w:hAnsi="Times New Roman" w:cs="Times New Roman"/>
          <w:color w:val="000000" w:themeColor="text1"/>
          <w:szCs w:val="24"/>
        </w:rPr>
        <w:t>for judicial institutions</w:t>
      </w:r>
      <w:r w:rsidR="00181A29" w:rsidRPr="00600AFD">
        <w:rPr>
          <w:rFonts w:ascii="Times New Roman" w:hAnsi="Times New Roman" w:cs="Times New Roman"/>
          <w:color w:val="000000" w:themeColor="text1"/>
          <w:szCs w:val="24"/>
        </w:rPr>
        <w:t xml:space="preserve"> through application of modern systems for case management in courts</w:t>
      </w:r>
      <w:r w:rsidR="004A5C2E" w:rsidRPr="00600AFD">
        <w:rPr>
          <w:rFonts w:ascii="Times New Roman" w:hAnsi="Times New Roman" w:cs="Times New Roman"/>
          <w:color w:val="000000" w:themeColor="text1"/>
          <w:szCs w:val="24"/>
        </w:rPr>
        <w:t xml:space="preserve">, </w:t>
      </w:r>
      <w:r w:rsidRPr="00600AFD">
        <w:rPr>
          <w:rFonts w:ascii="Times New Roman" w:hAnsi="Times New Roman" w:cs="Times New Roman"/>
          <w:color w:val="000000" w:themeColor="text1"/>
          <w:szCs w:val="24"/>
        </w:rPr>
        <w:t>public prosecutors’ offices</w:t>
      </w:r>
      <w:r w:rsidR="004A5C2E" w:rsidRPr="00600AFD">
        <w:rPr>
          <w:rFonts w:ascii="Times New Roman" w:hAnsi="Times New Roman" w:cs="Times New Roman"/>
          <w:color w:val="000000" w:themeColor="text1"/>
          <w:szCs w:val="24"/>
        </w:rPr>
        <w:t xml:space="preserve"> and prisons</w:t>
      </w:r>
      <w:r w:rsidR="00D01C11" w:rsidRPr="00600AFD">
        <w:rPr>
          <w:rFonts w:ascii="Times New Roman" w:hAnsi="Times New Roman" w:cs="Times New Roman"/>
          <w:color w:val="000000" w:themeColor="text1"/>
          <w:szCs w:val="24"/>
        </w:rPr>
        <w:t>. A centralized software (SIPRES)</w:t>
      </w:r>
      <w:r w:rsidR="00F154AA" w:rsidRPr="00600AFD">
        <w:rPr>
          <w:rFonts w:ascii="Times New Roman" w:hAnsi="Times New Roman" w:cs="Times New Roman"/>
          <w:color w:val="000000" w:themeColor="text1"/>
          <w:szCs w:val="24"/>
        </w:rPr>
        <w:t xml:space="preserve"> is in use in </w:t>
      </w:r>
      <w:r w:rsidR="00157EB2" w:rsidRPr="00600AFD">
        <w:rPr>
          <w:rFonts w:ascii="Times New Roman" w:hAnsi="Times New Roman" w:cs="Times New Roman"/>
          <w:color w:val="000000" w:themeColor="text1"/>
          <w:szCs w:val="24"/>
        </w:rPr>
        <w:t>misdemeanor</w:t>
      </w:r>
      <w:r w:rsidR="00F154AA" w:rsidRPr="00600AFD">
        <w:rPr>
          <w:rFonts w:ascii="Times New Roman" w:hAnsi="Times New Roman" w:cs="Times New Roman"/>
          <w:color w:val="000000" w:themeColor="text1"/>
          <w:szCs w:val="24"/>
        </w:rPr>
        <w:t xml:space="preserve"> courts</w:t>
      </w:r>
      <w:r w:rsidR="007B50FD" w:rsidRPr="00600AFD">
        <w:rPr>
          <w:rFonts w:ascii="Times New Roman" w:hAnsi="Times New Roman" w:cs="Times New Roman"/>
          <w:color w:val="000000" w:themeColor="text1"/>
          <w:szCs w:val="24"/>
        </w:rPr>
        <w:t xml:space="preserve"> that</w:t>
      </w:r>
      <w:r w:rsidR="00723019" w:rsidRPr="00600AFD">
        <w:rPr>
          <w:rFonts w:ascii="Times New Roman" w:hAnsi="Times New Roman" w:cs="Times New Roman"/>
          <w:color w:val="000000" w:themeColor="text1"/>
          <w:szCs w:val="24"/>
        </w:rPr>
        <w:t xml:space="preserve"> is connected to the Ministry of Interior’s system</w:t>
      </w:r>
      <w:r w:rsidR="007B50FD" w:rsidRPr="00600AFD">
        <w:rPr>
          <w:rFonts w:ascii="Times New Roman" w:hAnsi="Times New Roman" w:cs="Times New Roman"/>
          <w:color w:val="000000" w:themeColor="text1"/>
          <w:szCs w:val="24"/>
        </w:rPr>
        <w:t>,</w:t>
      </w:r>
      <w:r w:rsidR="00F154AA" w:rsidRPr="00600AFD">
        <w:rPr>
          <w:rFonts w:ascii="Times New Roman" w:hAnsi="Times New Roman" w:cs="Times New Roman"/>
          <w:color w:val="000000" w:themeColor="text1"/>
          <w:szCs w:val="24"/>
        </w:rPr>
        <w:t xml:space="preserve"> which</w:t>
      </w:r>
      <w:r w:rsidR="00992DAA" w:rsidRPr="00600AFD">
        <w:rPr>
          <w:rFonts w:ascii="Times New Roman" w:hAnsi="Times New Roman" w:cs="Times New Roman"/>
          <w:color w:val="000000" w:themeColor="text1"/>
          <w:szCs w:val="24"/>
        </w:rPr>
        <w:t xml:space="preserve"> has</w:t>
      </w:r>
      <w:r w:rsidR="00E53AEE" w:rsidRPr="00600AFD">
        <w:rPr>
          <w:rFonts w:ascii="Times New Roman" w:hAnsi="Times New Roman" w:cs="Times New Roman"/>
          <w:color w:val="000000" w:themeColor="text1"/>
          <w:szCs w:val="24"/>
        </w:rPr>
        <w:t xml:space="preserve"> made it possible to file </w:t>
      </w:r>
      <w:r w:rsidR="00C6268A" w:rsidRPr="00600AFD">
        <w:rPr>
          <w:rFonts w:ascii="Times New Roman" w:hAnsi="Times New Roman" w:cs="Times New Roman"/>
          <w:color w:val="000000" w:themeColor="text1"/>
          <w:szCs w:val="24"/>
        </w:rPr>
        <w:t>misdemeanor orders electronically</w:t>
      </w:r>
      <w:r w:rsidR="00397A07" w:rsidRPr="00600AFD">
        <w:rPr>
          <w:rFonts w:ascii="Times New Roman" w:hAnsi="Times New Roman" w:cs="Times New Roman"/>
          <w:color w:val="000000" w:themeColor="text1"/>
          <w:szCs w:val="24"/>
        </w:rPr>
        <w:t>. A new</w:t>
      </w:r>
      <w:r w:rsidR="00B23616" w:rsidRPr="00600AFD">
        <w:rPr>
          <w:rFonts w:ascii="Times New Roman" w:hAnsi="Times New Roman" w:cs="Times New Roman"/>
          <w:color w:val="000000" w:themeColor="text1"/>
          <w:szCs w:val="24"/>
        </w:rPr>
        <w:t>, also centralized system</w:t>
      </w:r>
      <w:r w:rsidR="007B50FD" w:rsidRPr="00600AFD">
        <w:rPr>
          <w:rFonts w:ascii="Times New Roman" w:hAnsi="Times New Roman" w:cs="Times New Roman"/>
          <w:color w:val="000000" w:themeColor="text1"/>
          <w:szCs w:val="24"/>
        </w:rPr>
        <w:t>,</w:t>
      </w:r>
      <w:r w:rsidR="002479BB" w:rsidRPr="00600AFD">
        <w:rPr>
          <w:rFonts w:ascii="Times New Roman" w:hAnsi="Times New Roman" w:cs="Times New Roman"/>
          <w:color w:val="000000" w:themeColor="text1"/>
          <w:szCs w:val="24"/>
        </w:rPr>
        <w:t xml:space="preserve"> SIPRIS (Commercial Courts System)</w:t>
      </w:r>
      <w:r w:rsidR="007B50FD" w:rsidRPr="00600AFD">
        <w:rPr>
          <w:rFonts w:ascii="Times New Roman" w:hAnsi="Times New Roman" w:cs="Times New Roman"/>
          <w:color w:val="000000" w:themeColor="text1"/>
          <w:szCs w:val="24"/>
        </w:rPr>
        <w:t>,</w:t>
      </w:r>
      <w:r w:rsidR="00B23616" w:rsidRPr="00600AFD">
        <w:rPr>
          <w:rFonts w:ascii="Times New Roman" w:hAnsi="Times New Roman" w:cs="Times New Roman"/>
          <w:color w:val="000000" w:themeColor="text1"/>
          <w:szCs w:val="24"/>
        </w:rPr>
        <w:t xml:space="preserve"> was </w:t>
      </w:r>
      <w:r w:rsidR="002479BB" w:rsidRPr="00600AFD">
        <w:rPr>
          <w:rFonts w:ascii="Times New Roman" w:hAnsi="Times New Roman" w:cs="Times New Roman"/>
          <w:color w:val="000000" w:themeColor="text1"/>
          <w:szCs w:val="24"/>
        </w:rPr>
        <w:t xml:space="preserve">created </w:t>
      </w:r>
      <w:r w:rsidR="007B50FD" w:rsidRPr="00600AFD">
        <w:rPr>
          <w:rFonts w:ascii="Times New Roman" w:hAnsi="Times New Roman" w:cs="Times New Roman"/>
          <w:color w:val="000000" w:themeColor="text1"/>
          <w:szCs w:val="24"/>
        </w:rPr>
        <w:t>in</w:t>
      </w:r>
      <w:r w:rsidR="00B23616" w:rsidRPr="00600AFD">
        <w:rPr>
          <w:rFonts w:ascii="Times New Roman" w:hAnsi="Times New Roman" w:cs="Times New Roman"/>
          <w:color w:val="000000" w:themeColor="text1"/>
          <w:szCs w:val="24"/>
        </w:rPr>
        <w:t xml:space="preserve"> commercial courts, </w:t>
      </w:r>
      <w:r w:rsidR="007B50FD" w:rsidRPr="00600AFD">
        <w:rPr>
          <w:rFonts w:ascii="Times New Roman" w:hAnsi="Times New Roman" w:cs="Times New Roman"/>
          <w:color w:val="000000" w:themeColor="text1"/>
          <w:szCs w:val="24"/>
        </w:rPr>
        <w:t>while</w:t>
      </w:r>
      <w:r w:rsidR="00B23616" w:rsidRPr="00600AFD">
        <w:rPr>
          <w:rFonts w:ascii="Times New Roman" w:hAnsi="Times New Roman" w:cs="Times New Roman"/>
          <w:color w:val="000000" w:themeColor="text1"/>
          <w:szCs w:val="24"/>
        </w:rPr>
        <w:t xml:space="preserve"> </w:t>
      </w:r>
      <w:r w:rsidR="007E0DBD" w:rsidRPr="00600AFD">
        <w:rPr>
          <w:rFonts w:ascii="Times New Roman" w:hAnsi="Times New Roman" w:cs="Times New Roman"/>
          <w:color w:val="000000" w:themeColor="text1"/>
          <w:szCs w:val="24"/>
        </w:rPr>
        <w:t xml:space="preserve">a public procurement procedure for </w:t>
      </w:r>
      <w:r w:rsidR="00C6268A" w:rsidRPr="00600AFD">
        <w:rPr>
          <w:rFonts w:ascii="Times New Roman" w:hAnsi="Times New Roman" w:cs="Times New Roman"/>
          <w:color w:val="000000" w:themeColor="text1"/>
          <w:szCs w:val="24"/>
        </w:rPr>
        <w:t>the full roll</w:t>
      </w:r>
      <w:r w:rsidR="000F3999">
        <w:rPr>
          <w:rFonts w:ascii="Times New Roman" w:hAnsi="Times New Roman" w:cs="Times New Roman"/>
          <w:color w:val="000000" w:themeColor="text1"/>
          <w:szCs w:val="24"/>
        </w:rPr>
        <w:t>–</w:t>
      </w:r>
      <w:r w:rsidR="00C6268A" w:rsidRPr="00600AFD">
        <w:rPr>
          <w:rFonts w:ascii="Times New Roman" w:hAnsi="Times New Roman" w:cs="Times New Roman"/>
          <w:color w:val="000000" w:themeColor="text1"/>
          <w:szCs w:val="24"/>
        </w:rPr>
        <w:t>out</w:t>
      </w:r>
      <w:r w:rsidR="007E0DBD" w:rsidRPr="00600AFD">
        <w:rPr>
          <w:rFonts w:ascii="Times New Roman" w:hAnsi="Times New Roman" w:cs="Times New Roman"/>
          <w:color w:val="000000" w:themeColor="text1"/>
          <w:szCs w:val="24"/>
        </w:rPr>
        <w:t xml:space="preserve"> of this software solution is currently under way at the </w:t>
      </w:r>
      <w:r w:rsidR="00B23616" w:rsidRPr="00600AFD">
        <w:rPr>
          <w:rFonts w:ascii="Times New Roman" w:hAnsi="Times New Roman" w:cs="Times New Roman"/>
          <w:color w:val="000000" w:themeColor="text1"/>
          <w:szCs w:val="24"/>
        </w:rPr>
        <w:t>Ministry of Justice</w:t>
      </w:r>
      <w:r w:rsidR="007E0DBD" w:rsidRPr="00600AFD">
        <w:rPr>
          <w:rFonts w:ascii="Times New Roman" w:hAnsi="Times New Roman" w:cs="Times New Roman"/>
          <w:color w:val="000000" w:themeColor="text1"/>
          <w:szCs w:val="24"/>
        </w:rPr>
        <w:t xml:space="preserve">. However, </w:t>
      </w:r>
      <w:r w:rsidR="007B50FD" w:rsidRPr="00600AFD">
        <w:rPr>
          <w:rFonts w:ascii="Times New Roman" w:hAnsi="Times New Roman" w:cs="Times New Roman"/>
          <w:color w:val="000000" w:themeColor="text1"/>
          <w:szCs w:val="24"/>
        </w:rPr>
        <w:t xml:space="preserve">the </w:t>
      </w:r>
      <w:r w:rsidR="002479BB" w:rsidRPr="00600AFD">
        <w:rPr>
          <w:rFonts w:ascii="Times New Roman" w:hAnsi="Times New Roman" w:cs="Times New Roman"/>
          <w:color w:val="000000" w:themeColor="text1"/>
          <w:szCs w:val="24"/>
        </w:rPr>
        <w:t xml:space="preserve">AVP system, which is in use in </w:t>
      </w:r>
      <w:r w:rsidR="007D7DFC" w:rsidRPr="00600AFD">
        <w:rPr>
          <w:rFonts w:ascii="Times New Roman" w:hAnsi="Times New Roman" w:cs="Times New Roman"/>
          <w:color w:val="000000" w:themeColor="text1"/>
          <w:szCs w:val="24"/>
        </w:rPr>
        <w:t>most courts</w:t>
      </w:r>
      <w:r w:rsidR="007B50FD" w:rsidRPr="00600AFD">
        <w:rPr>
          <w:rFonts w:ascii="Times New Roman" w:hAnsi="Times New Roman" w:cs="Times New Roman"/>
          <w:color w:val="000000" w:themeColor="text1"/>
          <w:szCs w:val="24"/>
        </w:rPr>
        <w:t>,</w:t>
      </w:r>
      <w:r w:rsidR="007D7DFC" w:rsidRPr="00600AFD">
        <w:rPr>
          <w:rFonts w:ascii="Times New Roman" w:hAnsi="Times New Roman" w:cs="Times New Roman"/>
          <w:color w:val="000000" w:themeColor="text1"/>
          <w:szCs w:val="24"/>
        </w:rPr>
        <w:t xml:space="preserve"> ha</w:t>
      </w:r>
      <w:r w:rsidR="002479BB" w:rsidRPr="00600AFD">
        <w:rPr>
          <w:rFonts w:ascii="Times New Roman" w:hAnsi="Times New Roman" w:cs="Times New Roman"/>
          <w:color w:val="000000" w:themeColor="text1"/>
          <w:szCs w:val="24"/>
        </w:rPr>
        <w:t>s</w:t>
      </w:r>
      <w:r w:rsidR="007D7DFC" w:rsidRPr="00600AFD">
        <w:rPr>
          <w:rFonts w:ascii="Times New Roman" w:hAnsi="Times New Roman" w:cs="Times New Roman"/>
          <w:color w:val="000000" w:themeColor="text1"/>
          <w:szCs w:val="24"/>
        </w:rPr>
        <w:t xml:space="preserve"> not </w:t>
      </w:r>
      <w:r w:rsidR="002479BB" w:rsidRPr="00600AFD">
        <w:rPr>
          <w:rFonts w:ascii="Times New Roman" w:hAnsi="Times New Roman" w:cs="Times New Roman"/>
          <w:color w:val="000000" w:themeColor="text1"/>
          <w:szCs w:val="24"/>
        </w:rPr>
        <w:t xml:space="preserve">yet </w:t>
      </w:r>
      <w:r w:rsidR="007D7DFC" w:rsidRPr="00600AFD">
        <w:rPr>
          <w:rFonts w:ascii="Times New Roman" w:hAnsi="Times New Roman" w:cs="Times New Roman"/>
          <w:color w:val="000000" w:themeColor="text1"/>
          <w:szCs w:val="24"/>
        </w:rPr>
        <w:t xml:space="preserve">been centralized. Hence, </w:t>
      </w:r>
      <w:r w:rsidR="0052543A" w:rsidRPr="00600AFD">
        <w:rPr>
          <w:rFonts w:ascii="Times New Roman" w:hAnsi="Times New Roman" w:cs="Times New Roman"/>
          <w:color w:val="000000" w:themeColor="text1"/>
          <w:szCs w:val="24"/>
        </w:rPr>
        <w:t xml:space="preserve">it is necessary to continue </w:t>
      </w:r>
      <w:r w:rsidR="00C6268A" w:rsidRPr="00600AFD">
        <w:rPr>
          <w:rFonts w:ascii="Times New Roman" w:hAnsi="Times New Roman" w:cs="Times New Roman"/>
          <w:color w:val="000000" w:themeColor="text1"/>
          <w:szCs w:val="24"/>
        </w:rPr>
        <w:t xml:space="preserve">further </w:t>
      </w:r>
      <w:r w:rsidR="0052543A" w:rsidRPr="00600AFD">
        <w:rPr>
          <w:rFonts w:ascii="Times New Roman" w:hAnsi="Times New Roman" w:cs="Times New Roman"/>
          <w:color w:val="000000" w:themeColor="text1"/>
          <w:szCs w:val="24"/>
        </w:rPr>
        <w:t xml:space="preserve">developing more efficient and centralized </w:t>
      </w:r>
      <w:r w:rsidR="00E538E8" w:rsidRPr="00600AFD">
        <w:rPr>
          <w:rFonts w:ascii="Times New Roman" w:hAnsi="Times New Roman" w:cs="Times New Roman"/>
          <w:color w:val="000000" w:themeColor="text1"/>
          <w:szCs w:val="24"/>
        </w:rPr>
        <w:t xml:space="preserve">case management </w:t>
      </w:r>
      <w:r w:rsidR="0052543A" w:rsidRPr="00600AFD">
        <w:rPr>
          <w:rFonts w:ascii="Times New Roman" w:hAnsi="Times New Roman" w:cs="Times New Roman"/>
          <w:color w:val="000000" w:themeColor="text1"/>
          <w:szCs w:val="24"/>
        </w:rPr>
        <w:t xml:space="preserve">systems </w:t>
      </w:r>
      <w:r w:rsidR="007D7DFC" w:rsidRPr="00600AFD">
        <w:rPr>
          <w:rFonts w:ascii="Times New Roman" w:hAnsi="Times New Roman" w:cs="Times New Roman"/>
          <w:color w:val="000000" w:themeColor="text1"/>
          <w:szCs w:val="24"/>
        </w:rPr>
        <w:t xml:space="preserve">in order to provide for </w:t>
      </w:r>
      <w:r w:rsidR="002479BB" w:rsidRPr="00600AFD">
        <w:rPr>
          <w:rFonts w:ascii="Times New Roman" w:hAnsi="Times New Roman" w:cs="Times New Roman"/>
          <w:color w:val="000000" w:themeColor="text1"/>
          <w:szCs w:val="24"/>
        </w:rPr>
        <w:t>the use of advanced systems and e</w:t>
      </w:r>
      <w:r w:rsidR="000F3999">
        <w:rPr>
          <w:rFonts w:ascii="Times New Roman" w:hAnsi="Times New Roman" w:cs="Times New Roman"/>
          <w:color w:val="000000" w:themeColor="text1"/>
          <w:szCs w:val="24"/>
        </w:rPr>
        <w:t>–</w:t>
      </w:r>
      <w:r w:rsidR="007B50FD" w:rsidRPr="00600AFD">
        <w:rPr>
          <w:rFonts w:ascii="Times New Roman" w:hAnsi="Times New Roman" w:cs="Times New Roman"/>
          <w:color w:val="000000" w:themeColor="text1"/>
          <w:szCs w:val="24"/>
        </w:rPr>
        <w:t>justice</w:t>
      </w:r>
      <w:r w:rsidR="002479BB" w:rsidRPr="00600AFD">
        <w:rPr>
          <w:rFonts w:ascii="Times New Roman" w:hAnsi="Times New Roman" w:cs="Times New Roman"/>
          <w:color w:val="000000" w:themeColor="text1"/>
          <w:szCs w:val="24"/>
        </w:rPr>
        <w:t xml:space="preserve"> services. </w:t>
      </w:r>
      <w:r w:rsidR="00E538E8" w:rsidRPr="00600AFD">
        <w:rPr>
          <w:rFonts w:ascii="Times New Roman" w:hAnsi="Times New Roman" w:cs="Times New Roman"/>
          <w:color w:val="000000" w:themeColor="text1"/>
          <w:szCs w:val="24"/>
        </w:rPr>
        <w:t xml:space="preserve">As regards the prosecutors’ offices, </w:t>
      </w:r>
      <w:r w:rsidR="00DB5758" w:rsidRPr="00600AFD">
        <w:rPr>
          <w:rFonts w:ascii="Times New Roman" w:hAnsi="Times New Roman" w:cs="Times New Roman"/>
          <w:color w:val="000000" w:themeColor="text1"/>
          <w:szCs w:val="24"/>
        </w:rPr>
        <w:t>there is a centralized case management system in place</w:t>
      </w:r>
      <w:r w:rsidR="00992DAA" w:rsidRPr="00600AFD">
        <w:rPr>
          <w:rFonts w:ascii="Times New Roman" w:hAnsi="Times New Roman" w:cs="Times New Roman"/>
          <w:color w:val="000000" w:themeColor="text1"/>
          <w:szCs w:val="24"/>
        </w:rPr>
        <w:t xml:space="preserve"> named </w:t>
      </w:r>
      <w:r w:rsidR="00DB5758" w:rsidRPr="00600AFD">
        <w:rPr>
          <w:rFonts w:ascii="Times New Roman" w:hAnsi="Times New Roman" w:cs="Times New Roman"/>
          <w:color w:val="000000" w:themeColor="text1"/>
          <w:szCs w:val="24"/>
        </w:rPr>
        <w:t>SAPO</w:t>
      </w:r>
      <w:r w:rsidR="00992DAA" w:rsidRPr="00600AFD">
        <w:rPr>
          <w:rFonts w:ascii="Times New Roman" w:hAnsi="Times New Roman" w:cs="Times New Roman"/>
          <w:color w:val="000000" w:themeColor="text1"/>
          <w:szCs w:val="24"/>
        </w:rPr>
        <w:t xml:space="preserve"> (</w:t>
      </w:r>
      <w:r w:rsidR="002479BB" w:rsidRPr="00600AFD">
        <w:rPr>
          <w:rFonts w:ascii="Times New Roman" w:hAnsi="Times New Roman" w:cs="Times New Roman"/>
          <w:color w:val="000000" w:themeColor="text1"/>
          <w:szCs w:val="24"/>
        </w:rPr>
        <w:t>Standard Application for Prosecution Offices</w:t>
      </w:r>
      <w:r w:rsidR="00DB5758" w:rsidRPr="00600AFD">
        <w:rPr>
          <w:rFonts w:ascii="Times New Roman" w:hAnsi="Times New Roman" w:cs="Times New Roman"/>
          <w:color w:val="000000" w:themeColor="text1"/>
          <w:szCs w:val="24"/>
        </w:rPr>
        <w:t xml:space="preserve">) </w:t>
      </w:r>
      <w:r w:rsidR="007B50FD" w:rsidRPr="00600AFD">
        <w:rPr>
          <w:rFonts w:ascii="Times New Roman" w:hAnsi="Times New Roman" w:cs="Times New Roman"/>
          <w:color w:val="000000" w:themeColor="text1"/>
          <w:szCs w:val="24"/>
        </w:rPr>
        <w:t>that</w:t>
      </w:r>
      <w:r w:rsidR="00DB5758" w:rsidRPr="00600AFD">
        <w:rPr>
          <w:rFonts w:ascii="Times New Roman" w:hAnsi="Times New Roman" w:cs="Times New Roman"/>
          <w:color w:val="000000" w:themeColor="text1"/>
          <w:szCs w:val="24"/>
        </w:rPr>
        <w:t xml:space="preserve"> </w:t>
      </w:r>
      <w:r w:rsidR="00C738EA" w:rsidRPr="00600AFD">
        <w:rPr>
          <w:rFonts w:ascii="Times New Roman" w:hAnsi="Times New Roman" w:cs="Times New Roman"/>
          <w:color w:val="000000" w:themeColor="text1"/>
          <w:szCs w:val="24"/>
        </w:rPr>
        <w:t xml:space="preserve">has </w:t>
      </w:r>
      <w:r w:rsidR="00992DAA" w:rsidRPr="00600AFD">
        <w:rPr>
          <w:rFonts w:ascii="Times New Roman" w:hAnsi="Times New Roman" w:cs="Times New Roman"/>
          <w:color w:val="000000" w:themeColor="text1"/>
          <w:szCs w:val="24"/>
        </w:rPr>
        <w:t xml:space="preserve">yet to be </w:t>
      </w:r>
      <w:r w:rsidR="00157EB2" w:rsidRPr="00600AFD">
        <w:rPr>
          <w:rFonts w:ascii="Times New Roman" w:hAnsi="Times New Roman" w:cs="Times New Roman"/>
          <w:color w:val="000000" w:themeColor="text1"/>
          <w:szCs w:val="24"/>
        </w:rPr>
        <w:t>implemented</w:t>
      </w:r>
      <w:r w:rsidR="00C738EA" w:rsidRPr="00600AFD">
        <w:rPr>
          <w:rFonts w:ascii="Times New Roman" w:hAnsi="Times New Roman" w:cs="Times New Roman"/>
          <w:color w:val="000000" w:themeColor="text1"/>
          <w:szCs w:val="24"/>
        </w:rPr>
        <w:t xml:space="preserve"> </w:t>
      </w:r>
      <w:r w:rsidR="00694D52" w:rsidRPr="00600AFD">
        <w:rPr>
          <w:rFonts w:ascii="Times New Roman" w:hAnsi="Times New Roman" w:cs="Times New Roman"/>
          <w:color w:val="000000" w:themeColor="text1"/>
          <w:szCs w:val="24"/>
        </w:rPr>
        <w:t>in</w:t>
      </w:r>
      <w:r w:rsidR="00C738EA" w:rsidRPr="00600AFD">
        <w:rPr>
          <w:rFonts w:ascii="Times New Roman" w:hAnsi="Times New Roman" w:cs="Times New Roman"/>
          <w:color w:val="000000" w:themeColor="text1"/>
          <w:szCs w:val="24"/>
        </w:rPr>
        <w:t xml:space="preserve"> all prosecutors’ offices. </w:t>
      </w:r>
      <w:r w:rsidR="002479BB" w:rsidRPr="00600AFD">
        <w:rPr>
          <w:rFonts w:ascii="Times New Roman" w:hAnsi="Times New Roman" w:cs="Times New Roman"/>
          <w:color w:val="000000" w:themeColor="text1"/>
          <w:szCs w:val="24"/>
        </w:rPr>
        <w:t xml:space="preserve">With EU support funds, the Ministry of Justice is </w:t>
      </w:r>
      <w:r w:rsidR="00992DAA" w:rsidRPr="00600AFD">
        <w:rPr>
          <w:rFonts w:ascii="Times New Roman" w:hAnsi="Times New Roman" w:cs="Times New Roman"/>
          <w:color w:val="000000" w:themeColor="text1"/>
          <w:szCs w:val="24"/>
        </w:rPr>
        <w:t xml:space="preserve">in the process of </w:t>
      </w:r>
      <w:r w:rsidR="002479BB" w:rsidRPr="00600AFD">
        <w:rPr>
          <w:rFonts w:ascii="Times New Roman" w:hAnsi="Times New Roman" w:cs="Times New Roman"/>
          <w:color w:val="000000" w:themeColor="text1"/>
          <w:szCs w:val="24"/>
        </w:rPr>
        <w:t xml:space="preserve">implementing the SAPO software implementation in the remaining public prosecutors’ offices as part of the 2015 IPA project. In addition, </w:t>
      </w:r>
      <w:r w:rsidR="007B50FD" w:rsidRPr="00600AFD">
        <w:rPr>
          <w:rFonts w:ascii="Times New Roman" w:hAnsi="Times New Roman" w:cs="Times New Roman"/>
          <w:color w:val="000000" w:themeColor="text1"/>
          <w:szCs w:val="24"/>
        </w:rPr>
        <w:t xml:space="preserve">the </w:t>
      </w:r>
      <w:r w:rsidR="002479BB" w:rsidRPr="00600AFD">
        <w:rPr>
          <w:rFonts w:ascii="Times New Roman" w:hAnsi="Times New Roman" w:cs="Times New Roman"/>
          <w:color w:val="000000" w:themeColor="text1"/>
          <w:szCs w:val="24"/>
        </w:rPr>
        <w:t xml:space="preserve">SAPA (Standard Application for Prison Administration) system is being implemented in all penitentiary institutions as part of the same project. </w:t>
      </w:r>
    </w:p>
    <w:p w14:paraId="2F155391" w14:textId="2E9DD175" w:rsidR="00094113" w:rsidRPr="00600AFD" w:rsidRDefault="00A75340" w:rsidP="005D06D2">
      <w:pPr>
        <w:spacing w:line="276" w:lineRule="auto"/>
        <w:rPr>
          <w:rFonts w:ascii="Times New Roman" w:hAnsi="Times New Roman" w:cs="Times New Roman"/>
          <w:color w:val="000000" w:themeColor="text1"/>
          <w:szCs w:val="24"/>
        </w:rPr>
      </w:pPr>
      <w:r w:rsidRPr="00600AFD">
        <w:rPr>
          <w:rFonts w:ascii="Times New Roman" w:hAnsi="Times New Roman" w:cs="Times New Roman"/>
          <w:color w:val="000000" w:themeColor="text1"/>
          <w:szCs w:val="24"/>
        </w:rPr>
        <w:t xml:space="preserve">The Judicial Information System has been developed </w:t>
      </w:r>
      <w:r w:rsidR="00747F92" w:rsidRPr="00600AFD">
        <w:rPr>
          <w:rFonts w:ascii="Times New Roman" w:hAnsi="Times New Roman" w:cs="Times New Roman"/>
          <w:color w:val="000000" w:themeColor="text1"/>
          <w:szCs w:val="24"/>
        </w:rPr>
        <w:t>for the purpose of strengthening efficiency</w:t>
      </w:r>
      <w:r w:rsidR="009638CD" w:rsidRPr="00600AFD">
        <w:rPr>
          <w:rFonts w:ascii="Times New Roman" w:hAnsi="Times New Roman" w:cs="Times New Roman"/>
          <w:color w:val="000000" w:themeColor="text1"/>
          <w:szCs w:val="24"/>
        </w:rPr>
        <w:t xml:space="preserve">, and it is further to be enhanced, </w:t>
      </w:r>
      <w:r w:rsidR="005958ED" w:rsidRPr="00600AFD">
        <w:rPr>
          <w:rFonts w:ascii="Times New Roman" w:hAnsi="Times New Roman" w:cs="Times New Roman"/>
          <w:color w:val="000000" w:themeColor="text1"/>
          <w:szCs w:val="24"/>
        </w:rPr>
        <w:t xml:space="preserve">including </w:t>
      </w:r>
      <w:r w:rsidR="009638CD" w:rsidRPr="00600AFD">
        <w:rPr>
          <w:rFonts w:ascii="Times New Roman" w:hAnsi="Times New Roman" w:cs="Times New Roman"/>
          <w:color w:val="000000" w:themeColor="text1"/>
          <w:szCs w:val="24"/>
        </w:rPr>
        <w:t>e</w:t>
      </w:r>
      <w:r w:rsidR="000F3999">
        <w:rPr>
          <w:rFonts w:ascii="Times New Roman" w:hAnsi="Times New Roman" w:cs="Times New Roman"/>
          <w:color w:val="000000" w:themeColor="text1"/>
          <w:szCs w:val="24"/>
        </w:rPr>
        <w:t>–</w:t>
      </w:r>
      <w:r w:rsidR="009638CD" w:rsidRPr="00600AFD">
        <w:rPr>
          <w:rFonts w:ascii="Times New Roman" w:hAnsi="Times New Roman" w:cs="Times New Roman"/>
          <w:color w:val="000000" w:themeColor="text1"/>
          <w:szCs w:val="24"/>
        </w:rPr>
        <w:t>Court, e</w:t>
      </w:r>
      <w:r w:rsidR="000F3999">
        <w:rPr>
          <w:rFonts w:ascii="Times New Roman" w:hAnsi="Times New Roman" w:cs="Times New Roman"/>
          <w:color w:val="000000" w:themeColor="text1"/>
          <w:szCs w:val="24"/>
        </w:rPr>
        <w:t>–</w:t>
      </w:r>
      <w:r w:rsidR="004918C9" w:rsidRPr="00600AFD">
        <w:rPr>
          <w:rFonts w:ascii="Times New Roman" w:hAnsi="Times New Roman" w:cs="Times New Roman"/>
          <w:color w:val="000000" w:themeColor="text1"/>
          <w:szCs w:val="24"/>
        </w:rPr>
        <w:t xml:space="preserve">ZIO and PRONEP </w:t>
      </w:r>
      <w:r w:rsidR="009638CD" w:rsidRPr="00600AFD">
        <w:rPr>
          <w:rFonts w:ascii="Times New Roman" w:hAnsi="Times New Roman" w:cs="Times New Roman"/>
          <w:color w:val="000000" w:themeColor="text1"/>
          <w:szCs w:val="24"/>
        </w:rPr>
        <w:t>applications</w:t>
      </w:r>
      <w:r w:rsidR="004918C9" w:rsidRPr="00600AFD">
        <w:rPr>
          <w:rFonts w:ascii="Times New Roman" w:hAnsi="Times New Roman" w:cs="Times New Roman"/>
          <w:color w:val="000000" w:themeColor="text1"/>
          <w:szCs w:val="24"/>
        </w:rPr>
        <w:t xml:space="preserve"> for electronic exchange of data</w:t>
      </w:r>
      <w:r w:rsidR="005958ED" w:rsidRPr="00600AFD">
        <w:rPr>
          <w:rFonts w:ascii="Times New Roman" w:hAnsi="Times New Roman" w:cs="Times New Roman"/>
          <w:color w:val="000000" w:themeColor="text1"/>
          <w:szCs w:val="24"/>
        </w:rPr>
        <w:t xml:space="preserve">, as well as applications for case law and central statistics. </w:t>
      </w:r>
      <w:r w:rsidR="002479BB" w:rsidRPr="00600AFD">
        <w:rPr>
          <w:rFonts w:ascii="Times New Roman" w:hAnsi="Times New Roman" w:cs="Times New Roman"/>
          <w:color w:val="000000" w:themeColor="text1"/>
          <w:szCs w:val="24"/>
        </w:rPr>
        <w:t>In addition, the Ministry of Justice has been c</w:t>
      </w:r>
      <w:r w:rsidR="002E1006" w:rsidRPr="00600AFD">
        <w:rPr>
          <w:rFonts w:ascii="Times New Roman" w:hAnsi="Times New Roman" w:cs="Times New Roman"/>
          <w:color w:val="000000" w:themeColor="text1"/>
          <w:szCs w:val="24"/>
        </w:rPr>
        <w:t>ontinuous</w:t>
      </w:r>
      <w:r w:rsidR="002479BB" w:rsidRPr="00600AFD">
        <w:rPr>
          <w:rFonts w:ascii="Times New Roman" w:hAnsi="Times New Roman" w:cs="Times New Roman"/>
          <w:color w:val="000000" w:themeColor="text1"/>
          <w:szCs w:val="24"/>
        </w:rPr>
        <w:t>ly</w:t>
      </w:r>
      <w:r w:rsidR="002E1006" w:rsidRPr="00600AFD">
        <w:rPr>
          <w:rFonts w:ascii="Times New Roman" w:hAnsi="Times New Roman" w:cs="Times New Roman"/>
          <w:color w:val="000000" w:themeColor="text1"/>
          <w:szCs w:val="24"/>
        </w:rPr>
        <w:t xml:space="preserve"> work</w:t>
      </w:r>
      <w:r w:rsidR="002479BB" w:rsidRPr="00600AFD">
        <w:rPr>
          <w:rFonts w:ascii="Times New Roman" w:hAnsi="Times New Roman" w:cs="Times New Roman"/>
          <w:color w:val="000000" w:themeColor="text1"/>
          <w:szCs w:val="24"/>
        </w:rPr>
        <w:t xml:space="preserve">ing </w:t>
      </w:r>
      <w:r w:rsidR="002E1006" w:rsidRPr="00600AFD">
        <w:rPr>
          <w:rFonts w:ascii="Times New Roman" w:hAnsi="Times New Roman" w:cs="Times New Roman"/>
          <w:color w:val="000000" w:themeColor="text1"/>
          <w:szCs w:val="24"/>
        </w:rPr>
        <w:t>to in</w:t>
      </w:r>
      <w:r w:rsidR="00F92CFC" w:rsidRPr="00600AFD">
        <w:rPr>
          <w:rFonts w:ascii="Times New Roman" w:hAnsi="Times New Roman" w:cs="Times New Roman"/>
          <w:color w:val="000000" w:themeColor="text1"/>
          <w:szCs w:val="24"/>
        </w:rPr>
        <w:t xml:space="preserve">troduce a capability for “video </w:t>
      </w:r>
      <w:r w:rsidR="00851946" w:rsidRPr="00600AFD">
        <w:rPr>
          <w:rFonts w:ascii="Times New Roman" w:hAnsi="Times New Roman" w:cs="Times New Roman"/>
          <w:color w:val="000000" w:themeColor="text1"/>
          <w:szCs w:val="24"/>
        </w:rPr>
        <w:t>hearings</w:t>
      </w:r>
      <w:r w:rsidR="00E13423" w:rsidRPr="00600AFD">
        <w:rPr>
          <w:rFonts w:ascii="Times New Roman" w:hAnsi="Times New Roman" w:cs="Times New Roman"/>
          <w:color w:val="000000" w:themeColor="text1"/>
          <w:szCs w:val="24"/>
        </w:rPr>
        <w:t>”</w:t>
      </w:r>
      <w:r w:rsidR="002479BB" w:rsidRPr="00600AFD">
        <w:rPr>
          <w:rFonts w:ascii="Times New Roman" w:hAnsi="Times New Roman" w:cs="Times New Roman"/>
          <w:color w:val="000000" w:themeColor="text1"/>
          <w:szCs w:val="24"/>
        </w:rPr>
        <w:t xml:space="preserve"> for persons deprived of liberty</w:t>
      </w:r>
      <w:r w:rsidR="00694D52" w:rsidRPr="00600AFD">
        <w:rPr>
          <w:rFonts w:ascii="Times New Roman" w:hAnsi="Times New Roman" w:cs="Times New Roman"/>
          <w:color w:val="000000" w:themeColor="text1"/>
          <w:szCs w:val="24"/>
        </w:rPr>
        <w:t>,</w:t>
      </w:r>
      <w:r w:rsidR="00851946" w:rsidRPr="00600AFD">
        <w:rPr>
          <w:rFonts w:ascii="Times New Roman" w:hAnsi="Times New Roman" w:cs="Times New Roman"/>
          <w:color w:val="000000" w:themeColor="text1"/>
          <w:szCs w:val="24"/>
        </w:rPr>
        <w:t xml:space="preserve"> </w:t>
      </w:r>
      <w:r w:rsidR="000F0978" w:rsidRPr="00600AFD">
        <w:rPr>
          <w:rFonts w:ascii="Times New Roman" w:hAnsi="Times New Roman" w:cs="Times New Roman"/>
          <w:color w:val="000000" w:themeColor="text1"/>
          <w:szCs w:val="24"/>
        </w:rPr>
        <w:t xml:space="preserve">linking courts and </w:t>
      </w:r>
      <w:r w:rsidR="0065444C" w:rsidRPr="00600AFD">
        <w:rPr>
          <w:rFonts w:ascii="Times New Roman" w:hAnsi="Times New Roman" w:cs="Times New Roman"/>
          <w:color w:val="000000" w:themeColor="text1"/>
          <w:szCs w:val="24"/>
        </w:rPr>
        <w:t>p</w:t>
      </w:r>
      <w:r w:rsidR="0080388D" w:rsidRPr="00600AFD">
        <w:rPr>
          <w:rFonts w:ascii="Times New Roman" w:hAnsi="Times New Roman" w:cs="Times New Roman"/>
          <w:color w:val="000000" w:themeColor="text1"/>
          <w:szCs w:val="24"/>
        </w:rPr>
        <w:t>enitentiaries</w:t>
      </w:r>
      <w:r w:rsidR="00F27813" w:rsidRPr="00600AFD">
        <w:rPr>
          <w:rFonts w:ascii="Times New Roman" w:hAnsi="Times New Roman" w:cs="Times New Roman"/>
          <w:color w:val="000000" w:themeColor="text1"/>
          <w:szCs w:val="24"/>
        </w:rPr>
        <w:t xml:space="preserve">, which is at present operational </w:t>
      </w:r>
      <w:r w:rsidR="00E24A55" w:rsidRPr="00600AFD">
        <w:rPr>
          <w:rFonts w:ascii="Times New Roman" w:hAnsi="Times New Roman" w:cs="Times New Roman"/>
          <w:color w:val="000000" w:themeColor="text1"/>
          <w:szCs w:val="24"/>
        </w:rPr>
        <w:t>between the Basic and Higher Court in Sremska Mitrovica and</w:t>
      </w:r>
      <w:r w:rsidR="00694D52" w:rsidRPr="00600AFD">
        <w:rPr>
          <w:rFonts w:ascii="Times New Roman" w:hAnsi="Times New Roman" w:cs="Times New Roman"/>
          <w:color w:val="000000" w:themeColor="text1"/>
          <w:szCs w:val="24"/>
        </w:rPr>
        <w:t xml:space="preserve"> the</w:t>
      </w:r>
      <w:r w:rsidR="00E24A55" w:rsidRPr="00600AFD">
        <w:rPr>
          <w:rFonts w:ascii="Times New Roman" w:hAnsi="Times New Roman" w:cs="Times New Roman"/>
          <w:color w:val="000000" w:themeColor="text1"/>
          <w:szCs w:val="24"/>
        </w:rPr>
        <w:t xml:space="preserve"> </w:t>
      </w:r>
      <w:r w:rsidR="00762F52" w:rsidRPr="00600AFD">
        <w:rPr>
          <w:rFonts w:ascii="Times New Roman" w:hAnsi="Times New Roman" w:cs="Times New Roman"/>
          <w:color w:val="000000" w:themeColor="text1"/>
          <w:szCs w:val="24"/>
        </w:rPr>
        <w:t xml:space="preserve">“Sremska Mitrovica” penitentiary. </w:t>
      </w:r>
    </w:p>
    <w:p w14:paraId="6033BE83" w14:textId="77777777" w:rsidR="00F01D63" w:rsidRPr="00600AFD" w:rsidRDefault="00E505D9" w:rsidP="005D06D2">
      <w:pPr>
        <w:spacing w:line="276" w:lineRule="auto"/>
        <w:rPr>
          <w:rFonts w:ascii="Times New Roman" w:hAnsi="Times New Roman" w:cs="Times New Roman"/>
          <w:color w:val="000000" w:themeColor="text1"/>
          <w:szCs w:val="24"/>
        </w:rPr>
      </w:pPr>
      <w:r w:rsidRPr="00600AFD">
        <w:rPr>
          <w:rFonts w:ascii="Times New Roman" w:hAnsi="Times New Roman" w:cs="Times New Roman"/>
          <w:color w:val="000000" w:themeColor="text1"/>
          <w:szCs w:val="24"/>
        </w:rPr>
        <w:t>Activities undertaken continuously to enhance transparency of the entire judicial</w:t>
      </w:r>
      <w:r w:rsidR="003D27E7" w:rsidRPr="00600AFD">
        <w:rPr>
          <w:rFonts w:ascii="Times New Roman" w:hAnsi="Times New Roman" w:cs="Times New Roman"/>
          <w:color w:val="000000" w:themeColor="text1"/>
          <w:szCs w:val="24"/>
        </w:rPr>
        <w:t xml:space="preserve"> </w:t>
      </w:r>
      <w:r w:rsidRPr="00600AFD">
        <w:rPr>
          <w:rFonts w:ascii="Times New Roman" w:hAnsi="Times New Roman" w:cs="Times New Roman"/>
          <w:color w:val="000000" w:themeColor="text1"/>
          <w:szCs w:val="24"/>
        </w:rPr>
        <w:t>system</w:t>
      </w:r>
      <w:r w:rsidR="003D27E7" w:rsidRPr="00600AFD">
        <w:rPr>
          <w:rFonts w:ascii="Times New Roman" w:hAnsi="Times New Roman" w:cs="Times New Roman"/>
          <w:color w:val="000000" w:themeColor="text1"/>
          <w:szCs w:val="24"/>
        </w:rPr>
        <w:t xml:space="preserve"> also have </w:t>
      </w:r>
      <w:r w:rsidR="00661F37" w:rsidRPr="00600AFD">
        <w:rPr>
          <w:rFonts w:ascii="Times New Roman" w:hAnsi="Times New Roman" w:cs="Times New Roman"/>
          <w:color w:val="000000" w:themeColor="text1"/>
          <w:szCs w:val="24"/>
        </w:rPr>
        <w:t xml:space="preserve">an important place. Work is continuously </w:t>
      </w:r>
      <w:r w:rsidR="002706FD" w:rsidRPr="00600AFD">
        <w:rPr>
          <w:rFonts w:ascii="Times New Roman" w:hAnsi="Times New Roman" w:cs="Times New Roman"/>
          <w:color w:val="000000" w:themeColor="text1"/>
          <w:szCs w:val="24"/>
        </w:rPr>
        <w:t>being done on the open data portal</w:t>
      </w:r>
      <w:r w:rsidR="00E843EA" w:rsidRPr="00600AFD">
        <w:rPr>
          <w:rStyle w:val="FootnoteReference"/>
          <w:rFonts w:ascii="Times New Roman" w:hAnsi="Times New Roman" w:cs="Times New Roman"/>
          <w:color w:val="000000" w:themeColor="text1"/>
          <w:szCs w:val="24"/>
        </w:rPr>
        <w:footnoteReference w:id="37"/>
      </w:r>
      <w:r w:rsidR="004F1255" w:rsidRPr="00600AFD">
        <w:rPr>
          <w:rFonts w:ascii="Times New Roman" w:hAnsi="Times New Roman" w:cs="Times New Roman"/>
          <w:color w:val="000000" w:themeColor="text1"/>
          <w:szCs w:val="24"/>
        </w:rPr>
        <w:t xml:space="preserve"> of the Ministry of Justice</w:t>
      </w:r>
      <w:r w:rsidR="00B95E08" w:rsidRPr="00600AFD">
        <w:rPr>
          <w:rFonts w:ascii="Times New Roman" w:hAnsi="Times New Roman" w:cs="Times New Roman"/>
          <w:color w:val="000000" w:themeColor="text1"/>
          <w:szCs w:val="24"/>
        </w:rPr>
        <w:t xml:space="preserve"> which has made </w:t>
      </w:r>
      <w:r w:rsidR="00D05929" w:rsidRPr="00600AFD">
        <w:rPr>
          <w:rFonts w:ascii="Times New Roman" w:hAnsi="Times New Roman" w:cs="Times New Roman"/>
          <w:color w:val="000000" w:themeColor="text1"/>
          <w:szCs w:val="24"/>
        </w:rPr>
        <w:t xml:space="preserve">available </w:t>
      </w:r>
      <w:r w:rsidR="00B95E08" w:rsidRPr="00600AFD">
        <w:rPr>
          <w:rFonts w:ascii="Times New Roman" w:hAnsi="Times New Roman" w:cs="Times New Roman"/>
          <w:color w:val="000000" w:themeColor="text1"/>
          <w:szCs w:val="24"/>
        </w:rPr>
        <w:t xml:space="preserve">the </w:t>
      </w:r>
      <w:r w:rsidR="00D05929" w:rsidRPr="00600AFD">
        <w:rPr>
          <w:rFonts w:ascii="Times New Roman" w:hAnsi="Times New Roman" w:cs="Times New Roman"/>
          <w:color w:val="000000" w:themeColor="text1"/>
          <w:szCs w:val="24"/>
        </w:rPr>
        <w:t xml:space="preserve">statistical </w:t>
      </w:r>
      <w:r w:rsidR="00B95E08" w:rsidRPr="00600AFD">
        <w:rPr>
          <w:rFonts w:ascii="Times New Roman" w:hAnsi="Times New Roman" w:cs="Times New Roman"/>
          <w:color w:val="000000" w:themeColor="text1"/>
          <w:szCs w:val="24"/>
        </w:rPr>
        <w:t>data</w:t>
      </w:r>
      <w:r w:rsidR="00D05929" w:rsidRPr="00600AFD">
        <w:rPr>
          <w:rFonts w:ascii="Times New Roman" w:hAnsi="Times New Roman" w:cs="Times New Roman"/>
          <w:color w:val="000000" w:themeColor="text1"/>
          <w:szCs w:val="24"/>
        </w:rPr>
        <w:t xml:space="preserve"> on the work of courts, the list of all notary public offices, directory of public enforcement officers</w:t>
      </w:r>
      <w:r w:rsidR="00BC090C" w:rsidRPr="00600AFD">
        <w:rPr>
          <w:rFonts w:ascii="Times New Roman" w:hAnsi="Times New Roman" w:cs="Times New Roman"/>
          <w:color w:val="000000" w:themeColor="text1"/>
          <w:szCs w:val="24"/>
        </w:rPr>
        <w:t xml:space="preserve">, as well as the data from the register of </w:t>
      </w:r>
      <w:r w:rsidR="00BC090C" w:rsidRPr="00600AFD">
        <w:rPr>
          <w:rFonts w:ascii="Times New Roman" w:hAnsi="Times New Roman" w:cs="Times New Roman"/>
          <w:color w:val="000000" w:themeColor="text1"/>
          <w:szCs w:val="24"/>
        </w:rPr>
        <w:lastRenderedPageBreak/>
        <w:t xml:space="preserve">mediators and expert witnesses. </w:t>
      </w:r>
      <w:r w:rsidR="00682EFA" w:rsidRPr="00600AFD">
        <w:rPr>
          <w:rFonts w:ascii="Times New Roman" w:hAnsi="Times New Roman" w:cs="Times New Roman"/>
          <w:color w:val="000000" w:themeColor="text1"/>
          <w:szCs w:val="24"/>
        </w:rPr>
        <w:t xml:space="preserve">In addition to its </w:t>
      </w:r>
      <w:r w:rsidR="00AE682D" w:rsidRPr="00600AFD">
        <w:rPr>
          <w:rFonts w:ascii="Times New Roman" w:hAnsi="Times New Roman" w:cs="Times New Roman"/>
          <w:color w:val="000000" w:themeColor="text1"/>
          <w:szCs w:val="24"/>
        </w:rPr>
        <w:t>contributi</w:t>
      </w:r>
      <w:r w:rsidR="00682EFA" w:rsidRPr="00600AFD">
        <w:rPr>
          <w:rFonts w:ascii="Times New Roman" w:hAnsi="Times New Roman" w:cs="Times New Roman"/>
          <w:color w:val="000000" w:themeColor="text1"/>
          <w:szCs w:val="24"/>
        </w:rPr>
        <w:t>on</w:t>
      </w:r>
      <w:r w:rsidR="00AE682D" w:rsidRPr="00600AFD">
        <w:rPr>
          <w:rFonts w:ascii="Times New Roman" w:hAnsi="Times New Roman" w:cs="Times New Roman"/>
          <w:color w:val="000000" w:themeColor="text1"/>
          <w:szCs w:val="24"/>
        </w:rPr>
        <w:t xml:space="preserve"> to </w:t>
      </w:r>
      <w:r w:rsidR="00694D52" w:rsidRPr="00600AFD">
        <w:rPr>
          <w:rFonts w:ascii="Times New Roman" w:hAnsi="Times New Roman" w:cs="Times New Roman"/>
          <w:color w:val="000000" w:themeColor="text1"/>
          <w:szCs w:val="24"/>
        </w:rPr>
        <w:t>judicial transparency</w:t>
      </w:r>
      <w:r w:rsidR="00682EFA" w:rsidRPr="00600AFD">
        <w:rPr>
          <w:rFonts w:ascii="Times New Roman" w:hAnsi="Times New Roman" w:cs="Times New Roman"/>
          <w:color w:val="000000" w:themeColor="text1"/>
          <w:szCs w:val="24"/>
        </w:rPr>
        <w:t xml:space="preserve">, the open data portal </w:t>
      </w:r>
      <w:r w:rsidR="0093738B" w:rsidRPr="00600AFD">
        <w:rPr>
          <w:rFonts w:ascii="Times New Roman" w:hAnsi="Times New Roman" w:cs="Times New Roman"/>
          <w:color w:val="000000" w:themeColor="text1"/>
          <w:szCs w:val="24"/>
        </w:rPr>
        <w:t xml:space="preserve">is of great importance for the citizens and other participants in the proceedings </w:t>
      </w:r>
      <w:r w:rsidR="00815D28" w:rsidRPr="00600AFD">
        <w:rPr>
          <w:rFonts w:ascii="Times New Roman" w:hAnsi="Times New Roman" w:cs="Times New Roman"/>
          <w:color w:val="000000" w:themeColor="text1"/>
          <w:szCs w:val="24"/>
        </w:rPr>
        <w:t xml:space="preserve">since it facilitates access to justice and </w:t>
      </w:r>
      <w:r w:rsidR="00756EE0" w:rsidRPr="00600AFD">
        <w:rPr>
          <w:rFonts w:ascii="Times New Roman" w:hAnsi="Times New Roman" w:cs="Times New Roman"/>
          <w:color w:val="000000" w:themeColor="text1"/>
          <w:szCs w:val="24"/>
        </w:rPr>
        <w:t xml:space="preserve">ensures that the parties are better informed about the entire judicial system. </w:t>
      </w:r>
    </w:p>
    <w:p w14:paraId="3C208374" w14:textId="539486A9" w:rsidR="00E9175B" w:rsidRPr="00600AFD" w:rsidRDefault="00AD3242" w:rsidP="000A4E98">
      <w:pPr>
        <w:spacing w:after="240" w:line="276" w:lineRule="auto"/>
        <w:rPr>
          <w:rFonts w:ascii="Times New Roman" w:hAnsi="Times New Roman" w:cs="Times New Roman"/>
          <w:szCs w:val="24"/>
        </w:rPr>
      </w:pPr>
      <w:r w:rsidRPr="00600AFD">
        <w:rPr>
          <w:rFonts w:ascii="Times New Roman" w:hAnsi="Times New Roman" w:cs="Times New Roman"/>
          <w:szCs w:val="24"/>
        </w:rPr>
        <w:t xml:space="preserve">To achieve the </w:t>
      </w:r>
      <w:r w:rsidR="00FC1E61" w:rsidRPr="00600AFD">
        <w:rPr>
          <w:rFonts w:ascii="Times New Roman" w:hAnsi="Times New Roman" w:cs="Times New Roman"/>
          <w:szCs w:val="24"/>
        </w:rPr>
        <w:t xml:space="preserve">specific objective </w:t>
      </w:r>
      <w:r w:rsidR="00ED62D3" w:rsidRPr="00600AFD">
        <w:rPr>
          <w:rFonts w:ascii="Times New Roman" w:hAnsi="Times New Roman" w:cs="Times New Roman"/>
          <w:szCs w:val="24"/>
        </w:rPr>
        <w:t>5</w:t>
      </w:r>
      <w:r w:rsidR="00FC1E61" w:rsidRPr="00600AFD">
        <w:rPr>
          <w:rFonts w:ascii="Times New Roman" w:hAnsi="Times New Roman" w:cs="Times New Roman"/>
          <w:szCs w:val="24"/>
        </w:rPr>
        <w:t xml:space="preserve">, </w:t>
      </w:r>
      <w:r w:rsidRPr="00600AFD">
        <w:rPr>
          <w:rFonts w:ascii="Times New Roman" w:hAnsi="Times New Roman" w:cs="Times New Roman"/>
          <w:szCs w:val="24"/>
        </w:rPr>
        <w:t xml:space="preserve">reflected </w:t>
      </w:r>
      <w:r w:rsidR="009F50F1" w:rsidRPr="00600AFD">
        <w:rPr>
          <w:rFonts w:ascii="Times New Roman" w:hAnsi="Times New Roman" w:cs="Times New Roman"/>
          <w:szCs w:val="24"/>
        </w:rPr>
        <w:t xml:space="preserve">in </w:t>
      </w:r>
      <w:r w:rsidR="009F50F1" w:rsidRPr="00600AFD">
        <w:rPr>
          <w:rFonts w:ascii="Times New Roman" w:hAnsi="Times New Roman" w:cs="Times New Roman"/>
          <w:i/>
          <w:szCs w:val="24"/>
        </w:rPr>
        <w:t xml:space="preserve">further </w:t>
      </w:r>
      <w:r w:rsidR="009C24BC" w:rsidRPr="00600AFD">
        <w:rPr>
          <w:rFonts w:ascii="Times New Roman" w:hAnsi="Times New Roman" w:cs="Times New Roman"/>
          <w:i/>
          <w:szCs w:val="24"/>
        </w:rPr>
        <w:t>advancement of e</w:t>
      </w:r>
      <w:r w:rsidR="000F3999">
        <w:rPr>
          <w:rFonts w:ascii="Times New Roman" w:hAnsi="Times New Roman" w:cs="Times New Roman"/>
          <w:i/>
          <w:szCs w:val="24"/>
        </w:rPr>
        <w:t>–</w:t>
      </w:r>
      <w:r w:rsidR="009C24BC" w:rsidRPr="00600AFD">
        <w:rPr>
          <w:rFonts w:ascii="Times New Roman" w:hAnsi="Times New Roman" w:cs="Times New Roman"/>
          <w:i/>
          <w:szCs w:val="24"/>
        </w:rPr>
        <w:t>services within the judiciary ensuring access to justice, increase in the quality of proceedings and decision</w:t>
      </w:r>
      <w:r w:rsidR="000F3999">
        <w:rPr>
          <w:rFonts w:ascii="Times New Roman" w:hAnsi="Times New Roman" w:cs="Times New Roman"/>
          <w:i/>
          <w:szCs w:val="24"/>
        </w:rPr>
        <w:t>–</w:t>
      </w:r>
      <w:r w:rsidR="009C24BC" w:rsidRPr="00600AFD">
        <w:rPr>
          <w:rFonts w:ascii="Times New Roman" w:hAnsi="Times New Roman" w:cs="Times New Roman"/>
          <w:i/>
          <w:szCs w:val="24"/>
        </w:rPr>
        <w:t>making, efficient case management, statistical monitoring and reporting on the work of judiciary, and transparency of the work of judicial organs</w:t>
      </w:r>
      <w:r w:rsidR="00EF1A6C" w:rsidRPr="00600AFD">
        <w:rPr>
          <w:rFonts w:ascii="Times New Roman" w:hAnsi="Times New Roman" w:cs="Times New Roman"/>
          <w:i/>
          <w:szCs w:val="24"/>
        </w:rPr>
        <w:t xml:space="preserve">, </w:t>
      </w:r>
      <w:r w:rsidR="00EF1A6C" w:rsidRPr="00600AFD">
        <w:rPr>
          <w:rFonts w:ascii="Times New Roman" w:hAnsi="Times New Roman" w:cs="Times New Roman"/>
          <w:szCs w:val="24"/>
        </w:rPr>
        <w:t xml:space="preserve">it is necessary to carry out the following measures: </w:t>
      </w:r>
    </w:p>
    <w:tbl>
      <w:tblPr>
        <w:tblStyle w:val="TableGrid"/>
        <w:tblW w:w="0" w:type="auto"/>
        <w:tblLook w:val="04A0" w:firstRow="1" w:lastRow="0" w:firstColumn="1" w:lastColumn="0" w:noHBand="0" w:noVBand="1"/>
      </w:tblPr>
      <w:tblGrid>
        <w:gridCol w:w="615"/>
        <w:gridCol w:w="923"/>
        <w:gridCol w:w="7812"/>
      </w:tblGrid>
      <w:tr w:rsidR="00FF37BC" w:rsidRPr="00600AFD" w14:paraId="16A4283A" w14:textId="77777777" w:rsidTr="00FF37BC">
        <w:tc>
          <w:tcPr>
            <w:tcW w:w="615" w:type="dxa"/>
            <w:vMerge w:val="restart"/>
            <w:shd w:val="clear" w:color="auto" w:fill="D9E2F3" w:themeFill="accent1" w:themeFillTint="33"/>
          </w:tcPr>
          <w:p w14:paraId="465FC724" w14:textId="77777777" w:rsidR="00FF37BC" w:rsidRPr="00600AFD" w:rsidRDefault="000A4E98" w:rsidP="00FF37BC">
            <w:pPr>
              <w:spacing w:after="120" w:line="276" w:lineRule="auto"/>
              <w:rPr>
                <w:rFonts w:ascii="Times New Roman" w:hAnsi="Times New Roman" w:cs="Times New Roman"/>
                <w:szCs w:val="24"/>
              </w:rPr>
            </w:pPr>
            <w:r w:rsidRPr="00600AFD">
              <w:rPr>
                <w:rFonts w:ascii="Times New Roman" w:hAnsi="Times New Roman" w:cs="Times New Roman"/>
                <w:szCs w:val="24"/>
              </w:rPr>
              <w:t>1</w:t>
            </w:r>
          </w:p>
        </w:tc>
        <w:tc>
          <w:tcPr>
            <w:tcW w:w="8735" w:type="dxa"/>
            <w:gridSpan w:val="2"/>
          </w:tcPr>
          <w:p w14:paraId="63678D49" w14:textId="22B9E4A4" w:rsidR="00FF37BC" w:rsidRPr="00600AFD" w:rsidRDefault="00AF6D0C" w:rsidP="00FF37BC">
            <w:pPr>
              <w:spacing w:after="120" w:line="276" w:lineRule="auto"/>
              <w:rPr>
                <w:rFonts w:ascii="Times New Roman" w:hAnsi="Times New Roman" w:cs="Times New Roman"/>
                <w:szCs w:val="24"/>
              </w:rPr>
            </w:pPr>
            <w:r w:rsidRPr="00600AFD">
              <w:rPr>
                <w:rFonts w:ascii="Times New Roman" w:hAnsi="Times New Roman" w:cs="Times New Roman"/>
                <w:szCs w:val="24"/>
              </w:rPr>
              <w:t>Advance ICT system through significant infrastructure</w:t>
            </w:r>
            <w:r w:rsidR="000F3999">
              <w:rPr>
                <w:rFonts w:ascii="Times New Roman" w:hAnsi="Times New Roman" w:cs="Times New Roman"/>
                <w:szCs w:val="24"/>
              </w:rPr>
              <w:t>–</w:t>
            </w:r>
            <w:r w:rsidRPr="00600AFD">
              <w:rPr>
                <w:rFonts w:ascii="Times New Roman" w:hAnsi="Times New Roman" w:cs="Times New Roman"/>
                <w:szCs w:val="24"/>
              </w:rPr>
              <w:t xml:space="preserve">related investments, software and </w:t>
            </w:r>
            <w:r w:rsidR="00495052" w:rsidRPr="00600AFD">
              <w:rPr>
                <w:rFonts w:ascii="Times New Roman" w:hAnsi="Times New Roman" w:cs="Times New Roman"/>
                <w:szCs w:val="24"/>
              </w:rPr>
              <w:t>human resources</w:t>
            </w:r>
            <w:r w:rsidR="000F3999">
              <w:rPr>
                <w:rFonts w:ascii="Times New Roman" w:hAnsi="Times New Roman" w:cs="Times New Roman"/>
                <w:szCs w:val="24"/>
              </w:rPr>
              <w:t>–</w:t>
            </w:r>
            <w:r w:rsidR="00495052" w:rsidRPr="00600AFD">
              <w:rPr>
                <w:rFonts w:ascii="Times New Roman" w:hAnsi="Times New Roman" w:cs="Times New Roman"/>
                <w:szCs w:val="24"/>
              </w:rPr>
              <w:t>rel</w:t>
            </w:r>
            <w:r w:rsidR="00711F35" w:rsidRPr="00600AFD">
              <w:rPr>
                <w:rFonts w:ascii="Times New Roman" w:hAnsi="Times New Roman" w:cs="Times New Roman"/>
                <w:szCs w:val="24"/>
              </w:rPr>
              <w:t xml:space="preserve">ated improvements: </w:t>
            </w:r>
          </w:p>
        </w:tc>
      </w:tr>
      <w:tr w:rsidR="00FF37BC" w:rsidRPr="00600AFD" w14:paraId="1032FA5B" w14:textId="77777777" w:rsidTr="00FF37BC">
        <w:tc>
          <w:tcPr>
            <w:tcW w:w="615" w:type="dxa"/>
            <w:vMerge/>
            <w:shd w:val="clear" w:color="auto" w:fill="D9E2F3" w:themeFill="accent1" w:themeFillTint="33"/>
          </w:tcPr>
          <w:p w14:paraId="32A7F277" w14:textId="77777777" w:rsidR="00FF37BC" w:rsidRPr="00600AFD" w:rsidRDefault="00FF37BC" w:rsidP="00FF37BC">
            <w:pPr>
              <w:spacing w:after="120" w:line="276" w:lineRule="auto"/>
              <w:rPr>
                <w:rFonts w:ascii="Times New Roman" w:hAnsi="Times New Roman" w:cs="Times New Roman"/>
                <w:szCs w:val="24"/>
              </w:rPr>
            </w:pPr>
          </w:p>
        </w:tc>
        <w:tc>
          <w:tcPr>
            <w:tcW w:w="923" w:type="dxa"/>
          </w:tcPr>
          <w:p w14:paraId="700D9E50" w14:textId="77777777" w:rsidR="00FF37BC" w:rsidRPr="00600AFD" w:rsidRDefault="000A4E98" w:rsidP="00FF37BC">
            <w:pPr>
              <w:pStyle w:val="ListParagraph"/>
              <w:spacing w:after="120" w:line="276" w:lineRule="auto"/>
              <w:ind w:left="1"/>
              <w:jc w:val="center"/>
              <w:rPr>
                <w:rFonts w:ascii="Times New Roman" w:hAnsi="Times New Roman" w:cs="Times New Roman"/>
                <w:szCs w:val="24"/>
              </w:rPr>
            </w:pPr>
            <w:r w:rsidRPr="00600AFD">
              <w:rPr>
                <w:rFonts w:ascii="Times New Roman" w:hAnsi="Times New Roman" w:cs="Times New Roman"/>
                <w:szCs w:val="24"/>
              </w:rPr>
              <w:t>1</w:t>
            </w:r>
            <w:r w:rsidR="00FF37BC" w:rsidRPr="00600AFD">
              <w:rPr>
                <w:rFonts w:ascii="Times New Roman" w:hAnsi="Times New Roman" w:cs="Times New Roman"/>
                <w:szCs w:val="24"/>
              </w:rPr>
              <w:t>.1</w:t>
            </w:r>
          </w:p>
        </w:tc>
        <w:tc>
          <w:tcPr>
            <w:tcW w:w="7812" w:type="dxa"/>
          </w:tcPr>
          <w:p w14:paraId="557F5028" w14:textId="77777777" w:rsidR="00FF37BC" w:rsidRPr="00600AFD" w:rsidRDefault="00711F35" w:rsidP="00FF37BC">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Ensure further development </w:t>
            </w:r>
            <w:r w:rsidR="004404EA" w:rsidRPr="00600AFD">
              <w:rPr>
                <w:rFonts w:ascii="Times New Roman" w:hAnsi="Times New Roman" w:cs="Times New Roman"/>
                <w:szCs w:val="24"/>
              </w:rPr>
              <w:t xml:space="preserve">of standardized and centralized ICT systems in courts; </w:t>
            </w:r>
          </w:p>
        </w:tc>
      </w:tr>
      <w:tr w:rsidR="00FF37BC" w:rsidRPr="00600AFD" w14:paraId="2F8C25D1" w14:textId="77777777" w:rsidTr="00FF37BC">
        <w:tc>
          <w:tcPr>
            <w:tcW w:w="615" w:type="dxa"/>
            <w:vMerge/>
            <w:shd w:val="clear" w:color="auto" w:fill="D9E2F3" w:themeFill="accent1" w:themeFillTint="33"/>
          </w:tcPr>
          <w:p w14:paraId="0EBB3726" w14:textId="77777777" w:rsidR="00FF37BC" w:rsidRPr="00600AFD" w:rsidRDefault="00FF37BC" w:rsidP="00FF37BC">
            <w:pPr>
              <w:spacing w:after="120" w:line="276" w:lineRule="auto"/>
              <w:rPr>
                <w:rFonts w:ascii="Times New Roman" w:hAnsi="Times New Roman" w:cs="Times New Roman"/>
                <w:szCs w:val="24"/>
              </w:rPr>
            </w:pPr>
          </w:p>
        </w:tc>
        <w:tc>
          <w:tcPr>
            <w:tcW w:w="923" w:type="dxa"/>
          </w:tcPr>
          <w:p w14:paraId="3F3F6839" w14:textId="77777777" w:rsidR="00FF37BC" w:rsidRPr="00600AFD" w:rsidRDefault="000A4E98" w:rsidP="00FF37BC">
            <w:pPr>
              <w:spacing w:after="120" w:line="276" w:lineRule="auto"/>
              <w:jc w:val="center"/>
              <w:rPr>
                <w:rFonts w:ascii="Times New Roman" w:hAnsi="Times New Roman" w:cs="Times New Roman"/>
                <w:szCs w:val="24"/>
              </w:rPr>
            </w:pPr>
            <w:r w:rsidRPr="00600AFD">
              <w:rPr>
                <w:rFonts w:ascii="Times New Roman" w:hAnsi="Times New Roman" w:cs="Times New Roman"/>
                <w:szCs w:val="24"/>
              </w:rPr>
              <w:t>1</w:t>
            </w:r>
            <w:r w:rsidR="00FF37BC" w:rsidRPr="00600AFD">
              <w:rPr>
                <w:rFonts w:ascii="Times New Roman" w:hAnsi="Times New Roman" w:cs="Times New Roman"/>
                <w:szCs w:val="24"/>
              </w:rPr>
              <w:t>.2</w:t>
            </w:r>
          </w:p>
        </w:tc>
        <w:tc>
          <w:tcPr>
            <w:tcW w:w="7812" w:type="dxa"/>
          </w:tcPr>
          <w:p w14:paraId="7E8E2E1E" w14:textId="77777777" w:rsidR="00FF37BC" w:rsidRPr="00600AFD" w:rsidRDefault="004404EA" w:rsidP="00694D52">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Further implementation of the central system </w:t>
            </w:r>
            <w:r w:rsidR="005C3337" w:rsidRPr="00600AFD">
              <w:rPr>
                <w:rFonts w:ascii="Times New Roman" w:hAnsi="Times New Roman" w:cs="Times New Roman"/>
                <w:szCs w:val="24"/>
              </w:rPr>
              <w:t xml:space="preserve">for case </w:t>
            </w:r>
            <w:r w:rsidR="00694D52" w:rsidRPr="00600AFD">
              <w:rPr>
                <w:rFonts w:ascii="Times New Roman" w:hAnsi="Times New Roman" w:cs="Times New Roman"/>
                <w:szCs w:val="24"/>
              </w:rPr>
              <w:t>management</w:t>
            </w:r>
            <w:r w:rsidR="004A20DB" w:rsidRPr="00600AFD">
              <w:rPr>
                <w:rFonts w:ascii="Times New Roman" w:hAnsi="Times New Roman" w:cs="Times New Roman"/>
                <w:szCs w:val="24"/>
              </w:rPr>
              <w:t xml:space="preserve"> (CMS)</w:t>
            </w:r>
            <w:r w:rsidR="005C3337" w:rsidRPr="00600AFD">
              <w:rPr>
                <w:rFonts w:ascii="Times New Roman" w:hAnsi="Times New Roman" w:cs="Times New Roman"/>
                <w:szCs w:val="24"/>
              </w:rPr>
              <w:t xml:space="preserve"> </w:t>
            </w:r>
            <w:r w:rsidR="00694D52" w:rsidRPr="00600AFD">
              <w:rPr>
                <w:rFonts w:ascii="Times New Roman" w:hAnsi="Times New Roman" w:cs="Times New Roman"/>
                <w:szCs w:val="24"/>
              </w:rPr>
              <w:t>in</w:t>
            </w:r>
            <w:r w:rsidR="005C3337" w:rsidRPr="00600AFD">
              <w:rPr>
                <w:rFonts w:ascii="Times New Roman" w:hAnsi="Times New Roman" w:cs="Times New Roman"/>
                <w:szCs w:val="24"/>
              </w:rPr>
              <w:t xml:space="preserve"> all prosecutors’ offices</w:t>
            </w:r>
            <w:r w:rsidR="00694D52" w:rsidRPr="00600AFD">
              <w:rPr>
                <w:rFonts w:ascii="Times New Roman" w:hAnsi="Times New Roman" w:cs="Times New Roman"/>
                <w:szCs w:val="24"/>
              </w:rPr>
              <w:t>, enabling connectivity between prosecutor’s offices and providing adequate user training</w:t>
            </w:r>
            <w:r w:rsidR="000A4E98" w:rsidRPr="00600AFD">
              <w:rPr>
                <w:rFonts w:ascii="Times New Roman" w:hAnsi="Times New Roman" w:cs="Times New Roman"/>
                <w:szCs w:val="24"/>
              </w:rPr>
              <w:t>;</w:t>
            </w:r>
          </w:p>
        </w:tc>
      </w:tr>
      <w:tr w:rsidR="00FF37BC" w:rsidRPr="00600AFD" w14:paraId="3689CFEE" w14:textId="77777777" w:rsidTr="00FF37BC">
        <w:tc>
          <w:tcPr>
            <w:tcW w:w="615" w:type="dxa"/>
            <w:vMerge/>
            <w:shd w:val="clear" w:color="auto" w:fill="D9E2F3" w:themeFill="accent1" w:themeFillTint="33"/>
          </w:tcPr>
          <w:p w14:paraId="2E939293" w14:textId="77777777" w:rsidR="00FF37BC" w:rsidRPr="00600AFD" w:rsidRDefault="00FF37BC" w:rsidP="00FF37BC">
            <w:pPr>
              <w:spacing w:after="120" w:line="276" w:lineRule="auto"/>
              <w:rPr>
                <w:rFonts w:ascii="Times New Roman" w:hAnsi="Times New Roman" w:cs="Times New Roman"/>
                <w:szCs w:val="24"/>
              </w:rPr>
            </w:pPr>
          </w:p>
        </w:tc>
        <w:tc>
          <w:tcPr>
            <w:tcW w:w="923" w:type="dxa"/>
          </w:tcPr>
          <w:p w14:paraId="6E6AEE76" w14:textId="77777777" w:rsidR="00FF37BC" w:rsidRPr="00600AFD" w:rsidRDefault="000A4E98" w:rsidP="00FF37BC">
            <w:pPr>
              <w:pStyle w:val="ListParagraph"/>
              <w:spacing w:line="276" w:lineRule="auto"/>
              <w:ind w:left="16"/>
              <w:jc w:val="center"/>
              <w:rPr>
                <w:rFonts w:ascii="Times New Roman" w:hAnsi="Times New Roman" w:cs="Times New Roman"/>
                <w:szCs w:val="24"/>
              </w:rPr>
            </w:pPr>
            <w:r w:rsidRPr="00600AFD">
              <w:rPr>
                <w:rFonts w:ascii="Times New Roman" w:hAnsi="Times New Roman" w:cs="Times New Roman"/>
                <w:szCs w:val="24"/>
              </w:rPr>
              <w:t>1</w:t>
            </w:r>
            <w:r w:rsidR="00FF37BC" w:rsidRPr="00600AFD">
              <w:rPr>
                <w:rFonts w:ascii="Times New Roman" w:hAnsi="Times New Roman" w:cs="Times New Roman"/>
                <w:szCs w:val="24"/>
              </w:rPr>
              <w:t>.3</w:t>
            </w:r>
          </w:p>
        </w:tc>
        <w:tc>
          <w:tcPr>
            <w:tcW w:w="7812" w:type="dxa"/>
          </w:tcPr>
          <w:p w14:paraId="174B15A3" w14:textId="2059F802" w:rsidR="00FF37BC" w:rsidRPr="00600AFD" w:rsidRDefault="001D7F28" w:rsidP="00694D52">
            <w:pPr>
              <w:spacing w:after="120" w:line="276" w:lineRule="auto"/>
              <w:rPr>
                <w:rFonts w:ascii="Times New Roman" w:hAnsi="Times New Roman" w:cs="Times New Roman"/>
                <w:szCs w:val="24"/>
              </w:rPr>
            </w:pPr>
            <w:r w:rsidRPr="00600AFD">
              <w:rPr>
                <w:rFonts w:ascii="Times New Roman" w:hAnsi="Times New Roman" w:cs="Times New Roman"/>
                <w:szCs w:val="24"/>
              </w:rPr>
              <w:t>Further implementation of the software</w:t>
            </w:r>
            <w:r w:rsidR="000F3999">
              <w:rPr>
                <w:rFonts w:ascii="Times New Roman" w:hAnsi="Times New Roman" w:cs="Times New Roman"/>
                <w:szCs w:val="24"/>
              </w:rPr>
              <w:t>–</w:t>
            </w:r>
            <w:r w:rsidRPr="00600AFD">
              <w:rPr>
                <w:rFonts w:ascii="Times New Roman" w:hAnsi="Times New Roman" w:cs="Times New Roman"/>
                <w:szCs w:val="24"/>
              </w:rPr>
              <w:t xml:space="preserve">based </w:t>
            </w:r>
            <w:r w:rsidR="00694D52" w:rsidRPr="00600AFD">
              <w:rPr>
                <w:rFonts w:ascii="Times New Roman" w:hAnsi="Times New Roman" w:cs="Times New Roman"/>
                <w:szCs w:val="24"/>
              </w:rPr>
              <w:t xml:space="preserve">random case </w:t>
            </w:r>
            <w:r w:rsidR="00FA4705" w:rsidRPr="00600AFD">
              <w:rPr>
                <w:rFonts w:ascii="Times New Roman" w:hAnsi="Times New Roman" w:cs="Times New Roman"/>
                <w:szCs w:val="24"/>
              </w:rPr>
              <w:t xml:space="preserve">distribution </w:t>
            </w:r>
            <w:r w:rsidR="00844A3E" w:rsidRPr="00600AFD">
              <w:rPr>
                <w:rFonts w:ascii="Times New Roman" w:hAnsi="Times New Roman" w:cs="Times New Roman"/>
                <w:szCs w:val="24"/>
              </w:rPr>
              <w:t xml:space="preserve">in </w:t>
            </w:r>
            <w:r w:rsidR="00EF32E5" w:rsidRPr="00600AFD">
              <w:rPr>
                <w:rFonts w:ascii="Times New Roman" w:hAnsi="Times New Roman" w:cs="Times New Roman"/>
                <w:szCs w:val="24"/>
              </w:rPr>
              <w:t xml:space="preserve">all courts; </w:t>
            </w:r>
          </w:p>
        </w:tc>
      </w:tr>
      <w:tr w:rsidR="00FF37BC" w:rsidRPr="00600AFD" w14:paraId="25B97F50" w14:textId="77777777" w:rsidTr="00FF37BC">
        <w:tc>
          <w:tcPr>
            <w:tcW w:w="615" w:type="dxa"/>
            <w:vMerge/>
            <w:shd w:val="clear" w:color="auto" w:fill="D9E2F3" w:themeFill="accent1" w:themeFillTint="33"/>
          </w:tcPr>
          <w:p w14:paraId="5FFA9C66" w14:textId="77777777" w:rsidR="00FF37BC" w:rsidRPr="00600AFD" w:rsidRDefault="00FF37BC" w:rsidP="00FF37BC">
            <w:pPr>
              <w:spacing w:after="120" w:line="276" w:lineRule="auto"/>
              <w:rPr>
                <w:rFonts w:ascii="Times New Roman" w:hAnsi="Times New Roman" w:cs="Times New Roman"/>
                <w:szCs w:val="24"/>
              </w:rPr>
            </w:pPr>
          </w:p>
        </w:tc>
        <w:tc>
          <w:tcPr>
            <w:tcW w:w="923" w:type="dxa"/>
          </w:tcPr>
          <w:p w14:paraId="2C4EE513" w14:textId="77777777" w:rsidR="00FF37BC" w:rsidRPr="00600AFD" w:rsidRDefault="000A4E98" w:rsidP="00FF37BC">
            <w:pPr>
              <w:spacing w:after="120" w:line="276" w:lineRule="auto"/>
              <w:jc w:val="center"/>
              <w:rPr>
                <w:rFonts w:ascii="Times New Roman" w:hAnsi="Times New Roman" w:cs="Times New Roman"/>
                <w:szCs w:val="24"/>
              </w:rPr>
            </w:pPr>
            <w:r w:rsidRPr="00600AFD">
              <w:rPr>
                <w:rFonts w:ascii="Times New Roman" w:hAnsi="Times New Roman" w:cs="Times New Roman"/>
                <w:szCs w:val="24"/>
              </w:rPr>
              <w:t>1</w:t>
            </w:r>
            <w:r w:rsidR="00FF37BC" w:rsidRPr="00600AFD">
              <w:rPr>
                <w:rFonts w:ascii="Times New Roman" w:hAnsi="Times New Roman" w:cs="Times New Roman"/>
                <w:szCs w:val="24"/>
              </w:rPr>
              <w:t>.4</w:t>
            </w:r>
          </w:p>
        </w:tc>
        <w:tc>
          <w:tcPr>
            <w:tcW w:w="7812" w:type="dxa"/>
          </w:tcPr>
          <w:p w14:paraId="69B6D295" w14:textId="374177CC" w:rsidR="00FF37BC" w:rsidRPr="00600AFD" w:rsidRDefault="00EF32E5" w:rsidP="00694D52">
            <w:pPr>
              <w:spacing w:after="120" w:line="276" w:lineRule="auto"/>
              <w:rPr>
                <w:rFonts w:ascii="Times New Roman" w:hAnsi="Times New Roman" w:cs="Times New Roman"/>
                <w:szCs w:val="24"/>
              </w:rPr>
            </w:pPr>
            <w:r w:rsidRPr="00600AFD">
              <w:rPr>
                <w:rFonts w:ascii="Times New Roman" w:hAnsi="Times New Roman" w:cs="Times New Roman"/>
                <w:szCs w:val="24"/>
              </w:rPr>
              <w:t>Implementation of software</w:t>
            </w:r>
            <w:r w:rsidR="000F3999">
              <w:rPr>
                <w:rFonts w:ascii="Times New Roman" w:hAnsi="Times New Roman" w:cs="Times New Roman"/>
                <w:szCs w:val="24"/>
              </w:rPr>
              <w:t>–</w:t>
            </w:r>
            <w:r w:rsidRPr="00600AFD">
              <w:rPr>
                <w:rFonts w:ascii="Times New Roman" w:hAnsi="Times New Roman" w:cs="Times New Roman"/>
                <w:szCs w:val="24"/>
              </w:rPr>
              <w:t xml:space="preserve">based automated </w:t>
            </w:r>
            <w:r w:rsidR="00844A3E" w:rsidRPr="00600AFD">
              <w:rPr>
                <w:rFonts w:ascii="Times New Roman" w:hAnsi="Times New Roman" w:cs="Times New Roman"/>
                <w:szCs w:val="24"/>
              </w:rPr>
              <w:t xml:space="preserve">case </w:t>
            </w:r>
            <w:r w:rsidR="00B55554" w:rsidRPr="00600AFD">
              <w:rPr>
                <w:rFonts w:ascii="Times New Roman" w:hAnsi="Times New Roman" w:cs="Times New Roman"/>
                <w:szCs w:val="24"/>
              </w:rPr>
              <w:t>distribution</w:t>
            </w:r>
            <w:r w:rsidR="00844A3E" w:rsidRPr="00600AFD">
              <w:rPr>
                <w:rFonts w:ascii="Times New Roman" w:hAnsi="Times New Roman" w:cs="Times New Roman"/>
                <w:szCs w:val="24"/>
              </w:rPr>
              <w:t xml:space="preserve"> in all prosecutors’ offices</w:t>
            </w:r>
            <w:r w:rsidR="00694D52" w:rsidRPr="00600AFD">
              <w:rPr>
                <w:rFonts w:ascii="Times New Roman" w:hAnsi="Times New Roman" w:cs="Times New Roman"/>
                <w:szCs w:val="24"/>
              </w:rPr>
              <w:t>, with the provision of a tool for tracking random case assignment bearing in mind the specifics of the organization of the public prosecutor’s offices</w:t>
            </w:r>
            <w:r w:rsidR="000A4E98" w:rsidRPr="00600AFD">
              <w:rPr>
                <w:rFonts w:ascii="Times New Roman" w:hAnsi="Times New Roman" w:cs="Times New Roman"/>
                <w:szCs w:val="24"/>
              </w:rPr>
              <w:t>;</w:t>
            </w:r>
          </w:p>
        </w:tc>
      </w:tr>
      <w:tr w:rsidR="00FF37BC" w:rsidRPr="00600AFD" w14:paraId="50967A7A" w14:textId="77777777" w:rsidTr="00FF37BC">
        <w:tc>
          <w:tcPr>
            <w:tcW w:w="615" w:type="dxa"/>
            <w:vMerge/>
            <w:shd w:val="clear" w:color="auto" w:fill="D9E2F3" w:themeFill="accent1" w:themeFillTint="33"/>
          </w:tcPr>
          <w:p w14:paraId="5855EA17" w14:textId="77777777" w:rsidR="00FF37BC" w:rsidRPr="00600AFD" w:rsidRDefault="00FF37BC" w:rsidP="00FF37BC">
            <w:pPr>
              <w:spacing w:after="120" w:line="276" w:lineRule="auto"/>
              <w:rPr>
                <w:rFonts w:ascii="Times New Roman" w:hAnsi="Times New Roman" w:cs="Times New Roman"/>
                <w:szCs w:val="24"/>
              </w:rPr>
            </w:pPr>
          </w:p>
        </w:tc>
        <w:tc>
          <w:tcPr>
            <w:tcW w:w="923" w:type="dxa"/>
          </w:tcPr>
          <w:p w14:paraId="73025FE0" w14:textId="77777777" w:rsidR="00FF37BC" w:rsidRPr="00600AFD" w:rsidRDefault="000A4E98" w:rsidP="00FF37BC">
            <w:pPr>
              <w:spacing w:after="120" w:line="276" w:lineRule="auto"/>
              <w:jc w:val="center"/>
              <w:rPr>
                <w:rFonts w:ascii="Times New Roman" w:hAnsi="Times New Roman" w:cs="Times New Roman"/>
                <w:szCs w:val="24"/>
              </w:rPr>
            </w:pPr>
            <w:r w:rsidRPr="00600AFD">
              <w:rPr>
                <w:rFonts w:ascii="Times New Roman" w:hAnsi="Times New Roman" w:cs="Times New Roman"/>
                <w:szCs w:val="24"/>
              </w:rPr>
              <w:t>1</w:t>
            </w:r>
            <w:r w:rsidR="00FF37BC" w:rsidRPr="00600AFD">
              <w:rPr>
                <w:rFonts w:ascii="Times New Roman" w:hAnsi="Times New Roman" w:cs="Times New Roman"/>
                <w:szCs w:val="24"/>
              </w:rPr>
              <w:t>.5</w:t>
            </w:r>
          </w:p>
        </w:tc>
        <w:tc>
          <w:tcPr>
            <w:tcW w:w="7812" w:type="dxa"/>
          </w:tcPr>
          <w:p w14:paraId="3D250751" w14:textId="32EC4AEF" w:rsidR="00FF37BC" w:rsidRPr="00600AFD" w:rsidRDefault="00844A3E" w:rsidP="00694D52">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More efficient </w:t>
            </w:r>
            <w:r w:rsidR="00157EB2" w:rsidRPr="00600AFD">
              <w:rPr>
                <w:rFonts w:ascii="Times New Roman" w:hAnsi="Times New Roman" w:cs="Times New Roman"/>
                <w:szCs w:val="24"/>
              </w:rPr>
              <w:t>utilization</w:t>
            </w:r>
            <w:r w:rsidRPr="00600AFD">
              <w:rPr>
                <w:rFonts w:ascii="Times New Roman" w:hAnsi="Times New Roman" w:cs="Times New Roman"/>
                <w:szCs w:val="24"/>
              </w:rPr>
              <w:t xml:space="preserve"> of hardware resources, availability of </w:t>
            </w:r>
            <w:r w:rsidR="000B11E3" w:rsidRPr="00600AFD">
              <w:rPr>
                <w:rFonts w:ascii="Times New Roman" w:hAnsi="Times New Roman" w:cs="Times New Roman"/>
                <w:szCs w:val="24"/>
              </w:rPr>
              <w:t xml:space="preserve">these resources, as well as </w:t>
            </w:r>
            <w:r w:rsidR="009D6431" w:rsidRPr="00600AFD">
              <w:rPr>
                <w:rFonts w:ascii="Times New Roman" w:hAnsi="Times New Roman" w:cs="Times New Roman"/>
                <w:szCs w:val="24"/>
              </w:rPr>
              <w:t xml:space="preserve">integrating </w:t>
            </w:r>
            <w:r w:rsidR="000B11E3" w:rsidRPr="00600AFD">
              <w:rPr>
                <w:rFonts w:ascii="Times New Roman" w:hAnsi="Times New Roman" w:cs="Times New Roman"/>
                <w:szCs w:val="24"/>
              </w:rPr>
              <w:t xml:space="preserve">different IT technologies </w:t>
            </w:r>
            <w:r w:rsidR="00547BE2" w:rsidRPr="00600AFD">
              <w:rPr>
                <w:rFonts w:ascii="Times New Roman" w:hAnsi="Times New Roman" w:cs="Times New Roman"/>
                <w:szCs w:val="24"/>
              </w:rPr>
              <w:t xml:space="preserve">into a single logical and functional </w:t>
            </w:r>
            <w:r w:rsidR="001C623F" w:rsidRPr="00600AFD">
              <w:rPr>
                <w:rFonts w:ascii="Times New Roman" w:hAnsi="Times New Roman" w:cs="Times New Roman"/>
                <w:szCs w:val="24"/>
              </w:rPr>
              <w:t>unit</w:t>
            </w:r>
            <w:r w:rsidR="00547BE2" w:rsidRPr="00600AFD">
              <w:rPr>
                <w:rFonts w:ascii="Times New Roman" w:hAnsi="Times New Roman" w:cs="Times New Roman"/>
                <w:szCs w:val="24"/>
              </w:rPr>
              <w:t xml:space="preserve"> </w:t>
            </w:r>
            <w:r w:rsidR="009D6431" w:rsidRPr="00600AFD">
              <w:rPr>
                <w:rFonts w:ascii="Times New Roman" w:hAnsi="Times New Roman" w:cs="Times New Roman"/>
                <w:szCs w:val="24"/>
              </w:rPr>
              <w:t xml:space="preserve">which would </w:t>
            </w:r>
            <w:r w:rsidR="00565E9A" w:rsidRPr="00600AFD">
              <w:rPr>
                <w:rFonts w:ascii="Times New Roman" w:hAnsi="Times New Roman" w:cs="Times New Roman"/>
                <w:szCs w:val="24"/>
              </w:rPr>
              <w:t xml:space="preserve">provide for </w:t>
            </w:r>
            <w:r w:rsidR="00694D52" w:rsidRPr="00600AFD">
              <w:rPr>
                <w:rFonts w:ascii="Times New Roman" w:hAnsi="Times New Roman" w:cs="Times New Roman"/>
                <w:szCs w:val="24"/>
              </w:rPr>
              <w:t>availability of different services</w:t>
            </w:r>
            <w:r w:rsidR="00565E9A" w:rsidRPr="00600AFD">
              <w:rPr>
                <w:rFonts w:ascii="Times New Roman" w:hAnsi="Times New Roman" w:cs="Times New Roman"/>
                <w:szCs w:val="24"/>
              </w:rPr>
              <w:t xml:space="preserve"> at any given moment; </w:t>
            </w:r>
          </w:p>
        </w:tc>
      </w:tr>
      <w:tr w:rsidR="00FF37BC" w:rsidRPr="00600AFD" w14:paraId="42F21E52" w14:textId="77777777" w:rsidTr="00FF37BC">
        <w:tc>
          <w:tcPr>
            <w:tcW w:w="615" w:type="dxa"/>
            <w:vMerge/>
            <w:shd w:val="clear" w:color="auto" w:fill="D9E2F3" w:themeFill="accent1" w:themeFillTint="33"/>
          </w:tcPr>
          <w:p w14:paraId="37E5822C" w14:textId="77777777" w:rsidR="00FF37BC" w:rsidRPr="00600AFD" w:rsidRDefault="00FF37BC" w:rsidP="00FF37BC">
            <w:pPr>
              <w:spacing w:after="120" w:line="276" w:lineRule="auto"/>
              <w:rPr>
                <w:rFonts w:ascii="Times New Roman" w:hAnsi="Times New Roman" w:cs="Times New Roman"/>
                <w:szCs w:val="24"/>
              </w:rPr>
            </w:pPr>
          </w:p>
        </w:tc>
        <w:tc>
          <w:tcPr>
            <w:tcW w:w="923" w:type="dxa"/>
          </w:tcPr>
          <w:p w14:paraId="7ABFA261" w14:textId="77777777" w:rsidR="00FF37BC" w:rsidRPr="00600AFD" w:rsidRDefault="000A4E98" w:rsidP="00FF37BC">
            <w:pPr>
              <w:spacing w:after="120" w:line="276" w:lineRule="auto"/>
              <w:jc w:val="center"/>
              <w:rPr>
                <w:rFonts w:ascii="Times New Roman" w:hAnsi="Times New Roman" w:cs="Times New Roman"/>
                <w:szCs w:val="24"/>
              </w:rPr>
            </w:pPr>
            <w:r w:rsidRPr="00600AFD">
              <w:rPr>
                <w:rFonts w:ascii="Times New Roman" w:hAnsi="Times New Roman" w:cs="Times New Roman"/>
                <w:szCs w:val="24"/>
              </w:rPr>
              <w:t>1</w:t>
            </w:r>
            <w:r w:rsidR="00FF37BC" w:rsidRPr="00600AFD">
              <w:rPr>
                <w:rFonts w:ascii="Times New Roman" w:hAnsi="Times New Roman" w:cs="Times New Roman"/>
                <w:szCs w:val="24"/>
              </w:rPr>
              <w:t>.6</w:t>
            </w:r>
          </w:p>
        </w:tc>
        <w:tc>
          <w:tcPr>
            <w:tcW w:w="7812" w:type="dxa"/>
          </w:tcPr>
          <w:p w14:paraId="24C55F9F" w14:textId="77777777" w:rsidR="00FF37BC" w:rsidRPr="00600AFD" w:rsidRDefault="005A34C4" w:rsidP="00694D52">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Increase in the number of statistical parameters for efficiency of the judiciary </w:t>
            </w:r>
            <w:r w:rsidR="00290DFD" w:rsidRPr="00600AFD">
              <w:rPr>
                <w:rFonts w:ascii="Times New Roman" w:hAnsi="Times New Roman" w:cs="Times New Roman"/>
                <w:szCs w:val="24"/>
              </w:rPr>
              <w:t xml:space="preserve">which </w:t>
            </w:r>
            <w:r w:rsidR="00663ED2" w:rsidRPr="00600AFD">
              <w:rPr>
                <w:rFonts w:ascii="Times New Roman" w:hAnsi="Times New Roman" w:cs="Times New Roman"/>
                <w:szCs w:val="24"/>
              </w:rPr>
              <w:t xml:space="preserve">may </w:t>
            </w:r>
            <w:r w:rsidR="00371D07" w:rsidRPr="00600AFD">
              <w:rPr>
                <w:rFonts w:ascii="Times New Roman" w:hAnsi="Times New Roman" w:cs="Times New Roman"/>
                <w:szCs w:val="24"/>
              </w:rPr>
              <w:t xml:space="preserve">be monitored via ICT and further development of </w:t>
            </w:r>
            <w:r w:rsidR="00276222" w:rsidRPr="00600AFD">
              <w:rPr>
                <w:rFonts w:ascii="Times New Roman" w:hAnsi="Times New Roman" w:cs="Times New Roman"/>
                <w:szCs w:val="24"/>
              </w:rPr>
              <w:t xml:space="preserve">the centralized systems of </w:t>
            </w:r>
            <w:r w:rsidR="00694D52" w:rsidRPr="00600AFD">
              <w:rPr>
                <w:rFonts w:ascii="Times New Roman" w:hAnsi="Times New Roman" w:cs="Times New Roman"/>
                <w:szCs w:val="24"/>
              </w:rPr>
              <w:t>judicial bodies</w:t>
            </w:r>
            <w:r w:rsidR="00276222" w:rsidRPr="00600AFD">
              <w:rPr>
                <w:rFonts w:ascii="Times New Roman" w:hAnsi="Times New Roman" w:cs="Times New Roman"/>
                <w:szCs w:val="24"/>
              </w:rPr>
              <w:t xml:space="preserve"> for the purpose of </w:t>
            </w:r>
            <w:r w:rsidR="00694D52" w:rsidRPr="00600AFD">
              <w:rPr>
                <w:rFonts w:ascii="Times New Roman" w:hAnsi="Times New Roman" w:cs="Times New Roman"/>
                <w:szCs w:val="24"/>
              </w:rPr>
              <w:t xml:space="preserve">implementing </w:t>
            </w:r>
            <w:r w:rsidR="00276222" w:rsidRPr="00600AFD">
              <w:rPr>
                <w:rFonts w:ascii="Times New Roman" w:hAnsi="Times New Roman" w:cs="Times New Roman"/>
                <w:szCs w:val="24"/>
              </w:rPr>
              <w:t xml:space="preserve">central </w:t>
            </w:r>
            <w:r w:rsidR="00C23B3F" w:rsidRPr="00600AFD">
              <w:rPr>
                <w:rFonts w:ascii="Times New Roman" w:hAnsi="Times New Roman" w:cs="Times New Roman"/>
                <w:szCs w:val="24"/>
              </w:rPr>
              <w:t xml:space="preserve">statistics; </w:t>
            </w:r>
          </w:p>
        </w:tc>
      </w:tr>
      <w:tr w:rsidR="0083624A" w:rsidRPr="00600AFD" w14:paraId="18BFA6BF" w14:textId="77777777" w:rsidTr="00FF37BC">
        <w:tc>
          <w:tcPr>
            <w:tcW w:w="615" w:type="dxa"/>
            <w:vMerge/>
            <w:shd w:val="clear" w:color="auto" w:fill="D9E2F3" w:themeFill="accent1" w:themeFillTint="33"/>
          </w:tcPr>
          <w:p w14:paraId="6FE89E01" w14:textId="77777777" w:rsidR="0083624A" w:rsidRPr="00600AFD" w:rsidRDefault="0083624A" w:rsidP="0083624A">
            <w:pPr>
              <w:spacing w:after="120" w:line="276" w:lineRule="auto"/>
              <w:rPr>
                <w:rFonts w:ascii="Times New Roman" w:hAnsi="Times New Roman" w:cs="Times New Roman"/>
                <w:szCs w:val="24"/>
              </w:rPr>
            </w:pPr>
          </w:p>
        </w:tc>
        <w:tc>
          <w:tcPr>
            <w:tcW w:w="923" w:type="dxa"/>
          </w:tcPr>
          <w:p w14:paraId="4A0284EC" w14:textId="714D45A7" w:rsidR="0083624A" w:rsidRPr="00600AFD" w:rsidRDefault="0083624A" w:rsidP="0083624A">
            <w:pPr>
              <w:spacing w:after="120" w:line="276" w:lineRule="auto"/>
              <w:jc w:val="center"/>
              <w:rPr>
                <w:rFonts w:ascii="Times New Roman" w:hAnsi="Times New Roman" w:cs="Times New Roman"/>
                <w:szCs w:val="24"/>
              </w:rPr>
            </w:pPr>
            <w:r w:rsidRPr="00600AFD">
              <w:rPr>
                <w:rFonts w:ascii="Times New Roman" w:hAnsi="Times New Roman" w:cs="Times New Roman"/>
                <w:szCs w:val="24"/>
              </w:rPr>
              <w:t>1.7</w:t>
            </w:r>
          </w:p>
        </w:tc>
        <w:tc>
          <w:tcPr>
            <w:tcW w:w="7812" w:type="dxa"/>
          </w:tcPr>
          <w:p w14:paraId="5DB2359D" w14:textId="4E6F39BD"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Establishing central electronic application for </w:t>
            </w:r>
            <w:r w:rsidR="008A1183" w:rsidRPr="00600AFD">
              <w:rPr>
                <w:rFonts w:ascii="Times New Roman" w:hAnsi="Times New Roman" w:cs="Times New Roman"/>
                <w:szCs w:val="24"/>
              </w:rPr>
              <w:t>citizens’ complaints</w:t>
            </w:r>
            <w:r w:rsidR="00624A66" w:rsidRPr="00600AFD">
              <w:rPr>
                <w:rFonts w:ascii="Times New Roman" w:hAnsi="Times New Roman" w:cs="Times New Roman"/>
                <w:szCs w:val="24"/>
              </w:rPr>
              <w:t xml:space="preserve"> against the work of courts and judges, that would provide centralized, efficient and transparent mechanism for </w:t>
            </w:r>
            <w:r w:rsidR="005622F0" w:rsidRPr="00600AFD">
              <w:rPr>
                <w:rFonts w:ascii="Times New Roman" w:hAnsi="Times New Roman" w:cs="Times New Roman"/>
                <w:szCs w:val="24"/>
              </w:rPr>
              <w:t>monitoring the proceedings upon these claims;</w:t>
            </w:r>
          </w:p>
        </w:tc>
      </w:tr>
      <w:tr w:rsidR="0083624A" w:rsidRPr="00600AFD" w14:paraId="388EAC64" w14:textId="77777777" w:rsidTr="00FF37BC">
        <w:tc>
          <w:tcPr>
            <w:tcW w:w="615" w:type="dxa"/>
            <w:vMerge/>
            <w:shd w:val="clear" w:color="auto" w:fill="D9E2F3" w:themeFill="accent1" w:themeFillTint="33"/>
          </w:tcPr>
          <w:p w14:paraId="5D81F52C" w14:textId="77777777" w:rsidR="0083624A" w:rsidRPr="00600AFD" w:rsidRDefault="0083624A" w:rsidP="0083624A">
            <w:pPr>
              <w:spacing w:after="120" w:line="276" w:lineRule="auto"/>
              <w:rPr>
                <w:rFonts w:ascii="Times New Roman" w:hAnsi="Times New Roman" w:cs="Times New Roman"/>
                <w:szCs w:val="24"/>
              </w:rPr>
            </w:pPr>
          </w:p>
        </w:tc>
        <w:tc>
          <w:tcPr>
            <w:tcW w:w="923" w:type="dxa"/>
          </w:tcPr>
          <w:p w14:paraId="5DA77A77" w14:textId="2E0388D8" w:rsidR="0083624A" w:rsidRPr="00600AFD" w:rsidRDefault="0083624A" w:rsidP="0083624A">
            <w:pPr>
              <w:spacing w:after="120" w:line="276" w:lineRule="auto"/>
              <w:jc w:val="center"/>
              <w:rPr>
                <w:rFonts w:ascii="Times New Roman" w:hAnsi="Times New Roman" w:cs="Times New Roman"/>
                <w:szCs w:val="24"/>
              </w:rPr>
            </w:pPr>
            <w:r w:rsidRPr="00600AFD">
              <w:rPr>
                <w:rFonts w:ascii="Times New Roman" w:hAnsi="Times New Roman" w:cs="Times New Roman"/>
                <w:szCs w:val="24"/>
              </w:rPr>
              <w:t>1.8</w:t>
            </w:r>
          </w:p>
        </w:tc>
        <w:tc>
          <w:tcPr>
            <w:tcW w:w="7812" w:type="dxa"/>
          </w:tcPr>
          <w:p w14:paraId="7D120D21" w14:textId="77777777" w:rsidR="0083624A" w:rsidRPr="00600AFD"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 xml:space="preserve">Establishing human resources databases in all prosecutors’ offices; </w:t>
            </w:r>
          </w:p>
        </w:tc>
      </w:tr>
      <w:tr w:rsidR="0083624A" w:rsidRPr="00600AFD" w14:paraId="37A88ECF" w14:textId="77777777" w:rsidTr="00FF37BC">
        <w:tc>
          <w:tcPr>
            <w:tcW w:w="615" w:type="dxa"/>
            <w:vMerge/>
            <w:shd w:val="clear" w:color="auto" w:fill="D9E2F3" w:themeFill="accent1" w:themeFillTint="33"/>
          </w:tcPr>
          <w:p w14:paraId="5478467A" w14:textId="77777777" w:rsidR="0083624A" w:rsidRPr="00600AFD" w:rsidRDefault="0083624A" w:rsidP="0083624A">
            <w:pPr>
              <w:spacing w:after="120" w:line="276" w:lineRule="auto"/>
              <w:rPr>
                <w:rFonts w:ascii="Times New Roman" w:hAnsi="Times New Roman" w:cs="Times New Roman"/>
                <w:szCs w:val="24"/>
              </w:rPr>
            </w:pPr>
          </w:p>
        </w:tc>
        <w:tc>
          <w:tcPr>
            <w:tcW w:w="923" w:type="dxa"/>
          </w:tcPr>
          <w:p w14:paraId="2534A178" w14:textId="58A58E06" w:rsidR="0083624A" w:rsidRPr="00600AFD" w:rsidRDefault="0083624A" w:rsidP="0083624A">
            <w:pPr>
              <w:spacing w:after="120" w:line="276" w:lineRule="auto"/>
              <w:jc w:val="center"/>
              <w:rPr>
                <w:rFonts w:ascii="Times New Roman" w:hAnsi="Times New Roman" w:cs="Times New Roman"/>
                <w:szCs w:val="24"/>
              </w:rPr>
            </w:pPr>
            <w:r w:rsidRPr="00600AFD">
              <w:rPr>
                <w:rFonts w:ascii="Times New Roman" w:hAnsi="Times New Roman" w:cs="Times New Roman"/>
                <w:szCs w:val="24"/>
              </w:rPr>
              <w:t>1.9</w:t>
            </w:r>
          </w:p>
        </w:tc>
        <w:tc>
          <w:tcPr>
            <w:tcW w:w="7812" w:type="dxa"/>
          </w:tcPr>
          <w:p w14:paraId="6F2348B1" w14:textId="6A3A7F8B"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Continuous advancement of e</w:t>
            </w:r>
            <w:r w:rsidR="000F3999">
              <w:rPr>
                <w:rFonts w:ascii="Times New Roman" w:hAnsi="Times New Roman" w:cs="Times New Roman"/>
                <w:szCs w:val="24"/>
              </w:rPr>
              <w:t>–</w:t>
            </w:r>
            <w:r w:rsidRPr="00600AFD">
              <w:rPr>
                <w:rFonts w:ascii="Times New Roman" w:hAnsi="Times New Roman" w:cs="Times New Roman"/>
                <w:szCs w:val="24"/>
              </w:rPr>
              <w:t>Academy;</w:t>
            </w:r>
          </w:p>
        </w:tc>
      </w:tr>
      <w:tr w:rsidR="0083624A" w:rsidRPr="00600AFD" w14:paraId="2207E65A" w14:textId="77777777" w:rsidTr="00FF37BC">
        <w:tc>
          <w:tcPr>
            <w:tcW w:w="615" w:type="dxa"/>
            <w:shd w:val="clear" w:color="auto" w:fill="D9E2F3" w:themeFill="accent1" w:themeFillTint="33"/>
          </w:tcPr>
          <w:p w14:paraId="587B733D"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lastRenderedPageBreak/>
              <w:t>2</w:t>
            </w:r>
          </w:p>
        </w:tc>
        <w:tc>
          <w:tcPr>
            <w:tcW w:w="8735" w:type="dxa"/>
            <w:gridSpan w:val="2"/>
          </w:tcPr>
          <w:p w14:paraId="23C0FBF6" w14:textId="77777777" w:rsidR="0083624A"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 xml:space="preserve">Ensure uniform proceedings in the entire judicial system </w:t>
            </w:r>
            <w:proofErr w:type="gramStart"/>
            <w:r w:rsidRPr="00600AFD">
              <w:rPr>
                <w:rFonts w:ascii="Times New Roman" w:hAnsi="Times New Roman" w:cs="Times New Roman"/>
                <w:szCs w:val="24"/>
              </w:rPr>
              <w:t>with regard to</w:t>
            </w:r>
            <w:proofErr w:type="gramEnd"/>
            <w:r w:rsidRPr="00600AFD">
              <w:rPr>
                <w:rFonts w:ascii="Times New Roman" w:hAnsi="Times New Roman" w:cs="Times New Roman"/>
                <w:szCs w:val="24"/>
              </w:rPr>
              <w:t xml:space="preserve"> entry and exchange of data in the ICT system, which also entails training in this area of all ICT system users;</w:t>
            </w:r>
          </w:p>
          <w:p w14:paraId="1300D569" w14:textId="42A08953" w:rsidR="00F40D25" w:rsidRPr="00600AFD" w:rsidRDefault="00F40D25" w:rsidP="0083624A">
            <w:pPr>
              <w:spacing w:line="276" w:lineRule="auto"/>
              <w:rPr>
                <w:rFonts w:ascii="Times New Roman" w:hAnsi="Times New Roman" w:cs="Times New Roman"/>
                <w:szCs w:val="24"/>
              </w:rPr>
            </w:pPr>
          </w:p>
        </w:tc>
      </w:tr>
      <w:tr w:rsidR="0083624A" w:rsidRPr="00600AFD" w14:paraId="3ED06182" w14:textId="77777777" w:rsidTr="00FF37BC">
        <w:tc>
          <w:tcPr>
            <w:tcW w:w="615" w:type="dxa"/>
            <w:shd w:val="clear" w:color="auto" w:fill="D9E2F3" w:themeFill="accent1" w:themeFillTint="33"/>
          </w:tcPr>
          <w:p w14:paraId="241CCFEE"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3</w:t>
            </w:r>
          </w:p>
        </w:tc>
        <w:tc>
          <w:tcPr>
            <w:tcW w:w="8735" w:type="dxa"/>
            <w:gridSpan w:val="2"/>
          </w:tcPr>
          <w:p w14:paraId="0061B103" w14:textId="77777777" w:rsidR="0083624A" w:rsidRPr="00600AFD"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 xml:space="preserve">Continuous advancement of data exchange between the bodies within the judicial system and other state organs; </w:t>
            </w:r>
          </w:p>
        </w:tc>
      </w:tr>
      <w:tr w:rsidR="0083624A" w:rsidRPr="00600AFD" w14:paraId="5E5C2BBC" w14:textId="77777777" w:rsidTr="00FF37BC">
        <w:tc>
          <w:tcPr>
            <w:tcW w:w="615" w:type="dxa"/>
            <w:shd w:val="clear" w:color="auto" w:fill="D9E2F3" w:themeFill="accent1" w:themeFillTint="33"/>
          </w:tcPr>
          <w:p w14:paraId="5B399284"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4</w:t>
            </w:r>
          </w:p>
        </w:tc>
        <w:tc>
          <w:tcPr>
            <w:tcW w:w="8735" w:type="dxa"/>
            <w:gridSpan w:val="2"/>
          </w:tcPr>
          <w:p w14:paraId="4AB6B575" w14:textId="77777777" w:rsidR="0083624A" w:rsidRPr="00600AFD"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Advance utilization of existing capacities through enhanced case management efficiency and enabling monitoring the duration of court proceedings in real time;</w:t>
            </w:r>
          </w:p>
        </w:tc>
      </w:tr>
      <w:tr w:rsidR="0083624A" w:rsidRPr="00600AFD" w14:paraId="5C81C307" w14:textId="77777777" w:rsidTr="00FF37BC">
        <w:tc>
          <w:tcPr>
            <w:tcW w:w="615" w:type="dxa"/>
            <w:shd w:val="clear" w:color="auto" w:fill="D9E2F3" w:themeFill="accent1" w:themeFillTint="33"/>
          </w:tcPr>
          <w:p w14:paraId="1106AA29"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5</w:t>
            </w:r>
          </w:p>
        </w:tc>
        <w:tc>
          <w:tcPr>
            <w:tcW w:w="8735" w:type="dxa"/>
            <w:gridSpan w:val="2"/>
          </w:tcPr>
          <w:p w14:paraId="2C1FC814" w14:textId="77777777" w:rsidR="0083624A"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Development of internal database of prosecutorial practice, accessibility of the database for all prosecutors’ offices and connecting it to the Judicial Academy’s database (e</w:t>
            </w:r>
            <w:r w:rsidR="000F3999">
              <w:rPr>
                <w:rFonts w:ascii="Times New Roman" w:hAnsi="Times New Roman" w:cs="Times New Roman"/>
                <w:szCs w:val="24"/>
              </w:rPr>
              <w:t>–</w:t>
            </w:r>
            <w:r w:rsidRPr="00600AFD">
              <w:rPr>
                <w:rFonts w:ascii="Times New Roman" w:hAnsi="Times New Roman" w:cs="Times New Roman"/>
                <w:szCs w:val="24"/>
              </w:rPr>
              <w:t xml:space="preserve">Academy) and the case law database; </w:t>
            </w:r>
          </w:p>
          <w:p w14:paraId="47BA98B9" w14:textId="3D8ED8CB" w:rsidR="00F40D25" w:rsidRPr="00600AFD" w:rsidRDefault="00F40D25" w:rsidP="0083624A">
            <w:pPr>
              <w:spacing w:line="276" w:lineRule="auto"/>
              <w:rPr>
                <w:rFonts w:ascii="Times New Roman" w:hAnsi="Times New Roman" w:cs="Times New Roman"/>
                <w:szCs w:val="24"/>
              </w:rPr>
            </w:pPr>
          </w:p>
        </w:tc>
      </w:tr>
      <w:tr w:rsidR="0083624A" w:rsidRPr="00600AFD" w14:paraId="15560D4B" w14:textId="77777777" w:rsidTr="00FF37BC">
        <w:tc>
          <w:tcPr>
            <w:tcW w:w="615" w:type="dxa"/>
            <w:shd w:val="clear" w:color="auto" w:fill="D9E2F3" w:themeFill="accent1" w:themeFillTint="33"/>
          </w:tcPr>
          <w:p w14:paraId="7923CADE"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6</w:t>
            </w:r>
          </w:p>
        </w:tc>
        <w:tc>
          <w:tcPr>
            <w:tcW w:w="8735" w:type="dxa"/>
            <w:gridSpan w:val="2"/>
          </w:tcPr>
          <w:p w14:paraId="6D2A92FE" w14:textId="77777777" w:rsidR="0083624A" w:rsidRPr="00600AFD"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Creating normative framework and taking other measures to advance ICT security;</w:t>
            </w:r>
          </w:p>
        </w:tc>
      </w:tr>
      <w:tr w:rsidR="0083624A" w:rsidRPr="00600AFD" w14:paraId="39E85630" w14:textId="77777777" w:rsidTr="00FF37BC">
        <w:tc>
          <w:tcPr>
            <w:tcW w:w="615" w:type="dxa"/>
            <w:shd w:val="clear" w:color="auto" w:fill="D9E2F3" w:themeFill="accent1" w:themeFillTint="33"/>
          </w:tcPr>
          <w:p w14:paraId="2148A2D5"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7</w:t>
            </w:r>
          </w:p>
        </w:tc>
        <w:tc>
          <w:tcPr>
            <w:tcW w:w="8735" w:type="dxa"/>
            <w:gridSpan w:val="2"/>
          </w:tcPr>
          <w:p w14:paraId="1B3D8185" w14:textId="77777777" w:rsidR="0083624A"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Further advancement of transparency of the work of judicial bodies and judicial professions through utilization of ICT tools;</w:t>
            </w:r>
          </w:p>
          <w:p w14:paraId="7A9B7BC6" w14:textId="0FD937C7" w:rsidR="00F40D25" w:rsidRPr="00600AFD" w:rsidRDefault="00F40D25" w:rsidP="0083624A">
            <w:pPr>
              <w:spacing w:line="276" w:lineRule="auto"/>
              <w:rPr>
                <w:rFonts w:ascii="Times New Roman" w:hAnsi="Times New Roman" w:cs="Times New Roman"/>
                <w:szCs w:val="24"/>
              </w:rPr>
            </w:pPr>
          </w:p>
        </w:tc>
      </w:tr>
      <w:tr w:rsidR="0083624A" w:rsidRPr="00600AFD" w14:paraId="48894FC6" w14:textId="77777777" w:rsidTr="00FF37BC">
        <w:tc>
          <w:tcPr>
            <w:tcW w:w="615" w:type="dxa"/>
            <w:shd w:val="clear" w:color="auto" w:fill="D9E2F3" w:themeFill="accent1" w:themeFillTint="33"/>
          </w:tcPr>
          <w:p w14:paraId="213F41A3"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8</w:t>
            </w:r>
          </w:p>
        </w:tc>
        <w:tc>
          <w:tcPr>
            <w:tcW w:w="8735" w:type="dxa"/>
            <w:gridSpan w:val="2"/>
          </w:tcPr>
          <w:p w14:paraId="19240E58" w14:textId="77777777" w:rsidR="0083624A"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Further expansion of options to initiate and conduct court proceedings electronically for the benefit of lawyers and citizens using the e</w:t>
            </w:r>
            <w:r w:rsidR="000F3999">
              <w:rPr>
                <w:rFonts w:ascii="Times New Roman" w:hAnsi="Times New Roman" w:cs="Times New Roman"/>
                <w:szCs w:val="24"/>
              </w:rPr>
              <w:t>–</w:t>
            </w:r>
            <w:r w:rsidRPr="00600AFD">
              <w:rPr>
                <w:rFonts w:ascii="Times New Roman" w:hAnsi="Times New Roman" w:cs="Times New Roman"/>
                <w:szCs w:val="24"/>
              </w:rPr>
              <w:t>Court application or other commercial softwar</w:t>
            </w:r>
            <w:r w:rsidR="00F049B2" w:rsidRPr="00600AFD">
              <w:rPr>
                <w:rFonts w:ascii="Times New Roman" w:hAnsi="Times New Roman" w:cs="Times New Roman"/>
                <w:szCs w:val="24"/>
              </w:rPr>
              <w:t xml:space="preserve">e </w:t>
            </w:r>
            <w:r w:rsidRPr="00600AFD">
              <w:rPr>
                <w:rFonts w:ascii="Times New Roman" w:hAnsi="Times New Roman" w:cs="Times New Roman"/>
                <w:szCs w:val="24"/>
              </w:rPr>
              <w:t>available on the market relying on Application Programming Interface (API) technology, in compliance with the prescribed standards;</w:t>
            </w:r>
          </w:p>
          <w:p w14:paraId="12C5C7A9" w14:textId="5A4B630F" w:rsidR="00F40D25" w:rsidRPr="00600AFD" w:rsidRDefault="00F40D25" w:rsidP="0083624A">
            <w:pPr>
              <w:spacing w:line="276" w:lineRule="auto"/>
              <w:rPr>
                <w:rFonts w:ascii="Times New Roman" w:hAnsi="Times New Roman" w:cs="Times New Roman"/>
                <w:szCs w:val="24"/>
              </w:rPr>
            </w:pPr>
          </w:p>
        </w:tc>
      </w:tr>
      <w:tr w:rsidR="0083624A" w:rsidRPr="00600AFD" w14:paraId="1B464748" w14:textId="77777777" w:rsidTr="00FF37BC">
        <w:tc>
          <w:tcPr>
            <w:tcW w:w="615" w:type="dxa"/>
            <w:shd w:val="clear" w:color="auto" w:fill="D9E2F3" w:themeFill="accent1" w:themeFillTint="33"/>
          </w:tcPr>
          <w:p w14:paraId="56C62D4E" w14:textId="77777777" w:rsidR="0083624A" w:rsidRPr="00600AFD" w:rsidRDefault="0083624A" w:rsidP="0083624A">
            <w:pPr>
              <w:spacing w:after="120" w:line="276" w:lineRule="auto"/>
              <w:rPr>
                <w:rFonts w:ascii="Times New Roman" w:hAnsi="Times New Roman" w:cs="Times New Roman"/>
                <w:szCs w:val="24"/>
              </w:rPr>
            </w:pPr>
            <w:r w:rsidRPr="00600AFD">
              <w:rPr>
                <w:rFonts w:ascii="Times New Roman" w:hAnsi="Times New Roman" w:cs="Times New Roman"/>
                <w:szCs w:val="24"/>
              </w:rPr>
              <w:t>9</w:t>
            </w:r>
          </w:p>
        </w:tc>
        <w:tc>
          <w:tcPr>
            <w:tcW w:w="8735" w:type="dxa"/>
            <w:gridSpan w:val="2"/>
          </w:tcPr>
          <w:p w14:paraId="193B37D2" w14:textId="77777777" w:rsidR="0083624A" w:rsidRDefault="0083624A" w:rsidP="0083624A">
            <w:pPr>
              <w:spacing w:line="276" w:lineRule="auto"/>
              <w:rPr>
                <w:rFonts w:ascii="Times New Roman" w:hAnsi="Times New Roman" w:cs="Times New Roman"/>
                <w:szCs w:val="24"/>
              </w:rPr>
            </w:pPr>
            <w:r w:rsidRPr="00600AFD">
              <w:rPr>
                <w:rFonts w:ascii="Times New Roman" w:hAnsi="Times New Roman" w:cs="Times New Roman"/>
                <w:szCs w:val="24"/>
              </w:rPr>
              <w:t>Further opening of judicial data</w:t>
            </w:r>
            <w:r w:rsidR="00F049B2" w:rsidRPr="00600AFD">
              <w:rPr>
                <w:rFonts w:ascii="Times New Roman" w:hAnsi="Times New Roman" w:cs="Times New Roman"/>
                <w:szCs w:val="24"/>
              </w:rPr>
              <w:t xml:space="preserve"> </w:t>
            </w:r>
            <w:r w:rsidR="00C16B2B" w:rsidRPr="00600AFD">
              <w:rPr>
                <w:rFonts w:ascii="Times New Roman" w:hAnsi="Times New Roman" w:cs="Times New Roman"/>
                <w:szCs w:val="24"/>
              </w:rPr>
              <w:t>suitable</w:t>
            </w:r>
            <w:r w:rsidRPr="00600AFD">
              <w:rPr>
                <w:rFonts w:ascii="Times New Roman" w:hAnsi="Times New Roman" w:cs="Times New Roman"/>
                <w:szCs w:val="24"/>
              </w:rPr>
              <w:t xml:space="preserve"> for publication on the state’s open data portal in compliance with the applicable regulations on personal data protection and through the process of public consultations, carried out by the Ministry of Justice at least once a year.</w:t>
            </w:r>
          </w:p>
          <w:p w14:paraId="0BC4E307" w14:textId="1746FBEC" w:rsidR="00F40D25" w:rsidRPr="00600AFD" w:rsidRDefault="00F40D25" w:rsidP="0083624A">
            <w:pPr>
              <w:spacing w:line="276" w:lineRule="auto"/>
              <w:rPr>
                <w:rFonts w:ascii="Times New Roman" w:hAnsi="Times New Roman" w:cs="Times New Roman"/>
                <w:szCs w:val="24"/>
              </w:rPr>
            </w:pPr>
          </w:p>
        </w:tc>
      </w:tr>
      <w:tr w:rsidR="00F049B2" w:rsidRPr="00600AFD" w14:paraId="3DCD783F" w14:textId="77777777" w:rsidTr="00FF37BC">
        <w:tc>
          <w:tcPr>
            <w:tcW w:w="615" w:type="dxa"/>
            <w:shd w:val="clear" w:color="auto" w:fill="D9E2F3" w:themeFill="accent1" w:themeFillTint="33"/>
          </w:tcPr>
          <w:p w14:paraId="28C851E2" w14:textId="79708129" w:rsidR="00F049B2" w:rsidRPr="00600AFD" w:rsidRDefault="00F049B2" w:rsidP="0083624A">
            <w:pPr>
              <w:spacing w:after="120" w:line="276" w:lineRule="auto"/>
              <w:rPr>
                <w:rFonts w:ascii="Times New Roman" w:hAnsi="Times New Roman" w:cs="Times New Roman"/>
                <w:szCs w:val="24"/>
              </w:rPr>
            </w:pPr>
            <w:r w:rsidRPr="00600AFD">
              <w:rPr>
                <w:rFonts w:ascii="Times New Roman" w:hAnsi="Times New Roman" w:cs="Times New Roman"/>
                <w:szCs w:val="24"/>
              </w:rPr>
              <w:t>10.</w:t>
            </w:r>
          </w:p>
        </w:tc>
        <w:tc>
          <w:tcPr>
            <w:tcW w:w="8735" w:type="dxa"/>
            <w:gridSpan w:val="2"/>
          </w:tcPr>
          <w:p w14:paraId="27FA0639" w14:textId="43AA0E2E" w:rsidR="00F049B2" w:rsidRPr="00600AFD" w:rsidRDefault="0071342F" w:rsidP="0083624A">
            <w:pPr>
              <w:spacing w:line="276" w:lineRule="auto"/>
              <w:rPr>
                <w:rFonts w:ascii="Times New Roman" w:hAnsi="Times New Roman" w:cs="Times New Roman"/>
                <w:szCs w:val="24"/>
              </w:rPr>
            </w:pPr>
            <w:r w:rsidRPr="00600AFD">
              <w:rPr>
                <w:rFonts w:ascii="Times New Roman" w:hAnsi="Times New Roman" w:cs="Times New Roman"/>
                <w:szCs w:val="24"/>
              </w:rPr>
              <w:t>Upgrading of e</w:t>
            </w:r>
            <w:r w:rsidR="000F3999">
              <w:rPr>
                <w:rFonts w:ascii="Times New Roman" w:hAnsi="Times New Roman" w:cs="Times New Roman"/>
                <w:szCs w:val="24"/>
              </w:rPr>
              <w:t>–</w:t>
            </w:r>
            <w:r w:rsidRPr="00600AFD">
              <w:rPr>
                <w:rFonts w:ascii="Times New Roman" w:hAnsi="Times New Roman" w:cs="Times New Roman"/>
                <w:szCs w:val="24"/>
              </w:rPr>
              <w:t xml:space="preserve">services aiming at establishing the access </w:t>
            </w:r>
            <w:r w:rsidR="00EB5CB7" w:rsidRPr="00600AFD">
              <w:rPr>
                <w:rFonts w:ascii="Times New Roman" w:hAnsi="Times New Roman" w:cs="Times New Roman"/>
                <w:szCs w:val="24"/>
              </w:rPr>
              <w:t xml:space="preserve">for the lawyers to track the case proceeding, </w:t>
            </w:r>
            <w:r w:rsidR="00D52E6F" w:rsidRPr="00600AFD">
              <w:rPr>
                <w:rFonts w:ascii="Times New Roman" w:hAnsi="Times New Roman" w:cs="Times New Roman"/>
                <w:szCs w:val="24"/>
              </w:rPr>
              <w:t>to inspect</w:t>
            </w:r>
            <w:r w:rsidR="00EB5CB7" w:rsidRPr="00600AFD">
              <w:rPr>
                <w:rFonts w:ascii="Times New Roman" w:hAnsi="Times New Roman" w:cs="Times New Roman"/>
                <w:szCs w:val="24"/>
              </w:rPr>
              <w:t xml:space="preserve"> the case file</w:t>
            </w:r>
            <w:r w:rsidR="00241362" w:rsidRPr="00600AFD">
              <w:rPr>
                <w:rFonts w:ascii="Times New Roman" w:hAnsi="Times New Roman" w:cs="Times New Roman"/>
                <w:szCs w:val="24"/>
              </w:rPr>
              <w:t xml:space="preserve"> and </w:t>
            </w:r>
            <w:r w:rsidR="001F48F8" w:rsidRPr="00600AFD">
              <w:rPr>
                <w:rFonts w:ascii="Times New Roman" w:hAnsi="Times New Roman" w:cs="Times New Roman"/>
                <w:szCs w:val="24"/>
              </w:rPr>
              <w:t xml:space="preserve">to </w:t>
            </w:r>
            <w:r w:rsidR="0029363D" w:rsidRPr="00600AFD">
              <w:rPr>
                <w:rFonts w:ascii="Times New Roman" w:hAnsi="Times New Roman" w:cs="Times New Roman"/>
                <w:szCs w:val="24"/>
              </w:rPr>
              <w:t>fil</w:t>
            </w:r>
            <w:r w:rsidR="001F48F8" w:rsidRPr="00600AFD">
              <w:rPr>
                <w:rFonts w:ascii="Times New Roman" w:hAnsi="Times New Roman" w:cs="Times New Roman"/>
                <w:szCs w:val="24"/>
              </w:rPr>
              <w:t>e</w:t>
            </w:r>
            <w:r w:rsidR="0029363D" w:rsidRPr="00600AFD">
              <w:rPr>
                <w:rFonts w:ascii="Times New Roman" w:hAnsi="Times New Roman" w:cs="Times New Roman"/>
                <w:szCs w:val="24"/>
              </w:rPr>
              <w:t xml:space="preserve"> </w:t>
            </w:r>
            <w:r w:rsidR="00241362" w:rsidRPr="00600AFD">
              <w:rPr>
                <w:rFonts w:ascii="Times New Roman" w:hAnsi="Times New Roman" w:cs="Times New Roman"/>
                <w:szCs w:val="24"/>
              </w:rPr>
              <w:t>electronic submissions</w:t>
            </w:r>
            <w:r w:rsidR="0029363D" w:rsidRPr="00600AFD">
              <w:rPr>
                <w:rFonts w:ascii="Times New Roman" w:hAnsi="Times New Roman" w:cs="Times New Roman"/>
                <w:szCs w:val="24"/>
              </w:rPr>
              <w:t xml:space="preserve">, as well as to </w:t>
            </w:r>
            <w:r w:rsidR="001F48F8" w:rsidRPr="00600AFD">
              <w:rPr>
                <w:rFonts w:ascii="Times New Roman" w:hAnsi="Times New Roman" w:cs="Times New Roman"/>
                <w:szCs w:val="24"/>
              </w:rPr>
              <w:t xml:space="preserve">access to </w:t>
            </w:r>
            <w:r w:rsidR="0029363D" w:rsidRPr="00600AFD">
              <w:rPr>
                <w:rFonts w:ascii="Times New Roman" w:hAnsi="Times New Roman" w:cs="Times New Roman"/>
                <w:szCs w:val="24"/>
              </w:rPr>
              <w:t xml:space="preserve">other </w:t>
            </w:r>
            <w:r w:rsidR="001F48F8" w:rsidRPr="00600AFD">
              <w:rPr>
                <w:rFonts w:ascii="Times New Roman" w:hAnsi="Times New Roman" w:cs="Times New Roman"/>
                <w:szCs w:val="24"/>
              </w:rPr>
              <w:t xml:space="preserve">relevant </w:t>
            </w:r>
            <w:r w:rsidR="0029363D" w:rsidRPr="00600AFD">
              <w:rPr>
                <w:rFonts w:ascii="Times New Roman" w:hAnsi="Times New Roman" w:cs="Times New Roman"/>
                <w:szCs w:val="24"/>
              </w:rPr>
              <w:t xml:space="preserve">databases for providing </w:t>
            </w:r>
            <w:r w:rsidR="001F48F8" w:rsidRPr="00600AFD">
              <w:rPr>
                <w:rFonts w:ascii="Times New Roman" w:hAnsi="Times New Roman" w:cs="Times New Roman"/>
                <w:szCs w:val="24"/>
              </w:rPr>
              <w:t xml:space="preserve">the </w:t>
            </w:r>
            <w:r w:rsidR="0029363D" w:rsidRPr="00600AFD">
              <w:rPr>
                <w:rFonts w:ascii="Times New Roman" w:hAnsi="Times New Roman" w:cs="Times New Roman"/>
                <w:szCs w:val="24"/>
              </w:rPr>
              <w:t xml:space="preserve">legal aid to the citizens. </w:t>
            </w:r>
          </w:p>
        </w:tc>
      </w:tr>
    </w:tbl>
    <w:p w14:paraId="70031758" w14:textId="77777777" w:rsidR="00F40D25" w:rsidRDefault="00F40D25" w:rsidP="00F40D25">
      <w:pPr>
        <w:pStyle w:val="Heading1"/>
        <w:spacing w:before="360" w:after="360"/>
        <w:ind w:left="1418"/>
        <w:rPr>
          <w:rFonts w:ascii="Times New Roman" w:hAnsi="Times New Roman"/>
          <w:b/>
          <w:bCs w:val="0"/>
          <w:sz w:val="24"/>
        </w:rPr>
      </w:pPr>
      <w:bookmarkStart w:id="14" w:name="_Toc39707754"/>
    </w:p>
    <w:p w14:paraId="7229506C" w14:textId="62DDBF5C" w:rsidR="0038313B" w:rsidRPr="00600AFD" w:rsidRDefault="00727460" w:rsidP="00F40D25">
      <w:pPr>
        <w:pStyle w:val="Heading1"/>
        <w:numPr>
          <w:ilvl w:val="1"/>
          <w:numId w:val="5"/>
        </w:numPr>
        <w:rPr>
          <w:rFonts w:ascii="Times New Roman" w:hAnsi="Times New Roman"/>
          <w:b/>
          <w:bCs w:val="0"/>
          <w:sz w:val="24"/>
        </w:rPr>
      </w:pPr>
      <w:r w:rsidRPr="00600AFD">
        <w:rPr>
          <w:rFonts w:ascii="Times New Roman" w:hAnsi="Times New Roman"/>
          <w:b/>
          <w:bCs w:val="0"/>
          <w:sz w:val="24"/>
        </w:rPr>
        <w:t>Transparency of judiciary</w:t>
      </w:r>
      <w:bookmarkEnd w:id="14"/>
    </w:p>
    <w:p w14:paraId="35FF3313" w14:textId="46DEFD42" w:rsidR="0093287C" w:rsidRPr="00600AFD" w:rsidRDefault="003575D6" w:rsidP="00B7613E">
      <w:pPr>
        <w:spacing w:line="276" w:lineRule="auto"/>
        <w:rPr>
          <w:rFonts w:ascii="Times New Roman" w:hAnsi="Times New Roman" w:cs="Times New Roman"/>
          <w:szCs w:val="24"/>
        </w:rPr>
      </w:pPr>
      <w:r w:rsidRPr="00600AFD">
        <w:rPr>
          <w:rFonts w:ascii="Times New Roman" w:hAnsi="Times New Roman" w:cs="Times New Roman"/>
          <w:szCs w:val="24"/>
        </w:rPr>
        <w:t xml:space="preserve">That transparency </w:t>
      </w:r>
      <w:r w:rsidR="00727460" w:rsidRPr="00600AFD">
        <w:rPr>
          <w:rFonts w:ascii="Times New Roman" w:hAnsi="Times New Roman" w:cs="Times New Roman"/>
          <w:szCs w:val="24"/>
        </w:rPr>
        <w:t>a</w:t>
      </w:r>
      <w:r w:rsidRPr="00600AFD">
        <w:rPr>
          <w:rFonts w:ascii="Times New Roman" w:hAnsi="Times New Roman" w:cs="Times New Roman"/>
          <w:szCs w:val="24"/>
        </w:rPr>
        <w:t xml:space="preserve">s one of the fundamental principles </w:t>
      </w:r>
      <w:r w:rsidR="00E71478" w:rsidRPr="00600AFD">
        <w:rPr>
          <w:rFonts w:ascii="Times New Roman" w:hAnsi="Times New Roman" w:cs="Times New Roman"/>
          <w:szCs w:val="24"/>
        </w:rPr>
        <w:t xml:space="preserve">underlying the work of judiciary in a modern society is </w:t>
      </w:r>
      <w:r w:rsidR="00123618" w:rsidRPr="00600AFD">
        <w:rPr>
          <w:rFonts w:ascii="Times New Roman" w:hAnsi="Times New Roman" w:cs="Times New Roman"/>
          <w:szCs w:val="24"/>
        </w:rPr>
        <w:t xml:space="preserve">a </w:t>
      </w:r>
      <w:r w:rsidR="00E71478" w:rsidRPr="00600AFD">
        <w:rPr>
          <w:rFonts w:ascii="Times New Roman" w:hAnsi="Times New Roman" w:cs="Times New Roman"/>
          <w:szCs w:val="24"/>
        </w:rPr>
        <w:t>universally accepted</w:t>
      </w:r>
      <w:r w:rsidR="00123618" w:rsidRPr="00600AFD">
        <w:rPr>
          <w:rFonts w:ascii="Times New Roman" w:hAnsi="Times New Roman" w:cs="Times New Roman"/>
          <w:szCs w:val="24"/>
        </w:rPr>
        <w:t xml:space="preserve"> view. </w:t>
      </w:r>
      <w:r w:rsidR="00D80400" w:rsidRPr="00600AFD">
        <w:rPr>
          <w:rFonts w:ascii="Times New Roman" w:hAnsi="Times New Roman" w:cs="Times New Roman"/>
          <w:szCs w:val="24"/>
        </w:rPr>
        <w:t xml:space="preserve">The principle 14 of the </w:t>
      </w:r>
      <w:r w:rsidR="003A1B30" w:rsidRPr="00600AFD">
        <w:rPr>
          <w:rFonts w:ascii="Times New Roman" w:hAnsi="Times New Roman" w:cs="Times New Roman"/>
          <w:szCs w:val="24"/>
        </w:rPr>
        <w:t>Magna Carta of Judges</w:t>
      </w:r>
      <w:r w:rsidR="00BD4F60" w:rsidRPr="00600AFD">
        <w:rPr>
          <w:rStyle w:val="FootnoteReference"/>
          <w:rFonts w:ascii="Times New Roman" w:hAnsi="Times New Roman" w:cs="Times New Roman"/>
          <w:i/>
          <w:szCs w:val="24"/>
        </w:rPr>
        <w:footnoteReference w:id="38"/>
      </w:r>
      <w:r w:rsidR="003A1B30" w:rsidRPr="00600AFD">
        <w:rPr>
          <w:rFonts w:ascii="Times New Roman" w:hAnsi="Times New Roman" w:cs="Times New Roman"/>
          <w:i/>
          <w:szCs w:val="24"/>
        </w:rPr>
        <w:t xml:space="preserve"> </w:t>
      </w:r>
      <w:r w:rsidR="00066C73" w:rsidRPr="00600AFD">
        <w:rPr>
          <w:rFonts w:ascii="Times New Roman" w:hAnsi="Times New Roman" w:cs="Times New Roman"/>
          <w:szCs w:val="24"/>
        </w:rPr>
        <w:t xml:space="preserve">stipulates that justice </w:t>
      </w:r>
      <w:r w:rsidR="0045339B" w:rsidRPr="00600AFD">
        <w:rPr>
          <w:rFonts w:ascii="Times New Roman" w:hAnsi="Times New Roman" w:cs="Times New Roman"/>
          <w:szCs w:val="24"/>
        </w:rPr>
        <w:t xml:space="preserve">shall </w:t>
      </w:r>
      <w:r w:rsidR="00066C73" w:rsidRPr="00600AFD">
        <w:rPr>
          <w:rFonts w:ascii="Times New Roman" w:hAnsi="Times New Roman" w:cs="Times New Roman"/>
          <w:szCs w:val="24"/>
        </w:rPr>
        <w:t xml:space="preserve">be transparent and </w:t>
      </w:r>
      <w:r w:rsidR="0045339B" w:rsidRPr="00600AFD">
        <w:rPr>
          <w:rFonts w:ascii="Times New Roman" w:hAnsi="Times New Roman" w:cs="Times New Roman"/>
          <w:szCs w:val="24"/>
        </w:rPr>
        <w:t xml:space="preserve">that </w:t>
      </w:r>
      <w:r w:rsidR="00066C73" w:rsidRPr="00600AFD">
        <w:rPr>
          <w:rFonts w:ascii="Times New Roman" w:hAnsi="Times New Roman" w:cs="Times New Roman"/>
          <w:szCs w:val="24"/>
        </w:rPr>
        <w:t xml:space="preserve">information shall be published on the operation </w:t>
      </w:r>
      <w:r w:rsidR="00066C73" w:rsidRPr="00600AFD">
        <w:rPr>
          <w:rFonts w:ascii="Times New Roman" w:hAnsi="Times New Roman" w:cs="Times New Roman"/>
          <w:szCs w:val="24"/>
        </w:rPr>
        <w:lastRenderedPageBreak/>
        <w:t>of the judicial system</w:t>
      </w:r>
      <w:r w:rsidR="0045339B" w:rsidRPr="00600AFD">
        <w:rPr>
          <w:rFonts w:ascii="Times New Roman" w:hAnsi="Times New Roman" w:cs="Times New Roman"/>
          <w:szCs w:val="24"/>
        </w:rPr>
        <w:t xml:space="preserve">. </w:t>
      </w:r>
      <w:r w:rsidR="00B02780" w:rsidRPr="00600AFD">
        <w:rPr>
          <w:rFonts w:ascii="Times New Roman" w:hAnsi="Times New Roman" w:cs="Times New Roman"/>
          <w:szCs w:val="24"/>
        </w:rPr>
        <w:t>The Resolution on Transparency and Access to Justice</w:t>
      </w:r>
      <w:r w:rsidR="00A6558A" w:rsidRPr="00600AFD">
        <w:rPr>
          <w:rStyle w:val="FootnoteReference"/>
          <w:rFonts w:ascii="Times New Roman" w:hAnsi="Times New Roman" w:cs="Times New Roman"/>
          <w:szCs w:val="24"/>
        </w:rPr>
        <w:footnoteReference w:id="39"/>
      </w:r>
      <w:r w:rsidR="004E6A08" w:rsidRPr="00600AFD">
        <w:rPr>
          <w:rFonts w:ascii="Times New Roman" w:hAnsi="Times New Roman" w:cs="Times New Roman"/>
          <w:szCs w:val="24"/>
        </w:rPr>
        <w:t xml:space="preserve"> of the European Network of Councils for the Judiciary</w:t>
      </w:r>
      <w:r w:rsidR="00AB5E87" w:rsidRPr="00600AFD">
        <w:rPr>
          <w:rFonts w:ascii="Times New Roman" w:hAnsi="Times New Roman" w:cs="Times New Roman"/>
          <w:szCs w:val="24"/>
        </w:rPr>
        <w:t xml:space="preserve"> requires the existence of an open and transparent system of justice </w:t>
      </w:r>
      <w:r w:rsidR="00F30CCE" w:rsidRPr="00600AFD">
        <w:rPr>
          <w:rFonts w:ascii="Times New Roman" w:hAnsi="Times New Roman" w:cs="Times New Roman"/>
          <w:szCs w:val="24"/>
        </w:rPr>
        <w:t>as the principal guarantee of the rule of law</w:t>
      </w:r>
      <w:r w:rsidR="001F5907" w:rsidRPr="00600AFD">
        <w:rPr>
          <w:rFonts w:ascii="Times New Roman" w:hAnsi="Times New Roman" w:cs="Times New Roman"/>
          <w:szCs w:val="24"/>
        </w:rPr>
        <w:t xml:space="preserve">, </w:t>
      </w:r>
      <w:r w:rsidR="00F30CCE" w:rsidRPr="00600AFD">
        <w:rPr>
          <w:rFonts w:ascii="Times New Roman" w:hAnsi="Times New Roman" w:cs="Times New Roman"/>
          <w:szCs w:val="24"/>
        </w:rPr>
        <w:t>while</w:t>
      </w:r>
      <w:r w:rsidR="009F5E9B" w:rsidRPr="00600AFD">
        <w:rPr>
          <w:rFonts w:ascii="Times New Roman" w:hAnsi="Times New Roman" w:cs="Times New Roman"/>
          <w:szCs w:val="24"/>
        </w:rPr>
        <w:t xml:space="preserve"> the Opinion no. 9 </w:t>
      </w:r>
      <w:r w:rsidR="001F5907" w:rsidRPr="00600AFD">
        <w:rPr>
          <w:rFonts w:ascii="Times New Roman" w:hAnsi="Times New Roman" w:cs="Times New Roman"/>
          <w:szCs w:val="24"/>
        </w:rPr>
        <w:t>(2014)</w:t>
      </w:r>
      <w:r w:rsidR="00BD4F60" w:rsidRPr="00600AFD">
        <w:rPr>
          <w:rStyle w:val="FootnoteReference"/>
          <w:rFonts w:ascii="Times New Roman" w:hAnsi="Times New Roman" w:cs="Times New Roman"/>
          <w:szCs w:val="24"/>
        </w:rPr>
        <w:footnoteReference w:id="40"/>
      </w:r>
      <w:r w:rsidR="001F5907" w:rsidRPr="00600AFD">
        <w:rPr>
          <w:rFonts w:ascii="Times New Roman" w:hAnsi="Times New Roman" w:cs="Times New Roman"/>
          <w:szCs w:val="24"/>
        </w:rPr>
        <w:t xml:space="preserve"> </w:t>
      </w:r>
      <w:r w:rsidR="009F5E9B" w:rsidRPr="00600AFD">
        <w:rPr>
          <w:rFonts w:ascii="Times New Roman" w:hAnsi="Times New Roman" w:cs="Times New Roman"/>
          <w:szCs w:val="24"/>
        </w:rPr>
        <w:t xml:space="preserve">of the </w:t>
      </w:r>
      <w:r w:rsidR="004255F7" w:rsidRPr="00600AFD">
        <w:rPr>
          <w:rFonts w:ascii="Times New Roman" w:hAnsi="Times New Roman" w:cs="Times New Roman"/>
          <w:szCs w:val="24"/>
        </w:rPr>
        <w:t>Consultative Council of European Prosecutors on European norms and principles concerning prosecutors</w:t>
      </w:r>
      <w:r w:rsidR="000351D3" w:rsidRPr="00600AFD">
        <w:rPr>
          <w:rFonts w:ascii="Times New Roman" w:hAnsi="Times New Roman" w:cs="Times New Roman"/>
          <w:szCs w:val="24"/>
        </w:rPr>
        <w:t xml:space="preserve"> unambiguously points out that </w:t>
      </w:r>
      <w:r w:rsidR="0047000D" w:rsidRPr="00600AFD">
        <w:rPr>
          <w:rFonts w:ascii="Times New Roman" w:hAnsi="Times New Roman" w:cs="Times New Roman"/>
          <w:szCs w:val="24"/>
        </w:rPr>
        <w:t>transparency in the work of prosecutors is essential in a modern democracy</w:t>
      </w:r>
      <w:r w:rsidR="0098318B" w:rsidRPr="00600AFD">
        <w:rPr>
          <w:rFonts w:ascii="Times New Roman" w:hAnsi="Times New Roman" w:cs="Times New Roman"/>
          <w:szCs w:val="24"/>
        </w:rPr>
        <w:t xml:space="preserve">. </w:t>
      </w:r>
    </w:p>
    <w:p w14:paraId="1A5732DA" w14:textId="5AA7E15C" w:rsidR="00BD7A5B" w:rsidRPr="00600AFD" w:rsidRDefault="0098318B" w:rsidP="00BD7A5B">
      <w:pPr>
        <w:spacing w:line="276" w:lineRule="auto"/>
        <w:rPr>
          <w:rFonts w:ascii="Times New Roman" w:hAnsi="Times New Roman" w:cs="Times New Roman"/>
          <w:szCs w:val="24"/>
        </w:rPr>
      </w:pPr>
      <w:r w:rsidRPr="00600AFD">
        <w:rPr>
          <w:rFonts w:ascii="Times New Roman" w:hAnsi="Times New Roman" w:cs="Times New Roman"/>
          <w:szCs w:val="24"/>
        </w:rPr>
        <w:t xml:space="preserve">Thus, the nature of the principle of transparency as a horizontal principle </w:t>
      </w:r>
      <w:r w:rsidR="00BB2FD4" w:rsidRPr="00600AFD">
        <w:rPr>
          <w:rFonts w:ascii="Times New Roman" w:hAnsi="Times New Roman" w:cs="Times New Roman"/>
          <w:szCs w:val="24"/>
        </w:rPr>
        <w:t xml:space="preserve">permeating all five key principles underlying the reform and organization of judiciary </w:t>
      </w:r>
      <w:r w:rsidR="00EE71D7" w:rsidRPr="00600AFD">
        <w:rPr>
          <w:rFonts w:ascii="Times New Roman" w:hAnsi="Times New Roman" w:cs="Times New Roman"/>
          <w:szCs w:val="24"/>
        </w:rPr>
        <w:t xml:space="preserve">was properly acknowledged as such already in </w:t>
      </w:r>
      <w:r w:rsidR="00BF1FC7" w:rsidRPr="00600AFD">
        <w:rPr>
          <w:rFonts w:ascii="Times New Roman" w:hAnsi="Times New Roman" w:cs="Times New Roman"/>
          <w:szCs w:val="24"/>
        </w:rPr>
        <w:t xml:space="preserve">the </w:t>
      </w:r>
      <w:r w:rsidR="007866E3" w:rsidRPr="00600AFD">
        <w:rPr>
          <w:rFonts w:ascii="Times New Roman" w:hAnsi="Times New Roman" w:cs="Times New Roman"/>
          <w:szCs w:val="24"/>
        </w:rPr>
        <w:t>2013</w:t>
      </w:r>
      <w:r w:rsidR="000F3999">
        <w:rPr>
          <w:rFonts w:ascii="Times New Roman" w:hAnsi="Times New Roman" w:cs="Times New Roman"/>
          <w:szCs w:val="24"/>
        </w:rPr>
        <w:t>–</w:t>
      </w:r>
      <w:r w:rsidR="007866E3" w:rsidRPr="00600AFD">
        <w:rPr>
          <w:rFonts w:ascii="Times New Roman" w:hAnsi="Times New Roman" w:cs="Times New Roman"/>
          <w:szCs w:val="24"/>
        </w:rPr>
        <w:t>2018 NJRS</w:t>
      </w:r>
      <w:r w:rsidR="00EE71D7" w:rsidRPr="00600AFD">
        <w:rPr>
          <w:rFonts w:ascii="Times New Roman" w:hAnsi="Times New Roman" w:cs="Times New Roman"/>
          <w:szCs w:val="24"/>
        </w:rPr>
        <w:t xml:space="preserve">. </w:t>
      </w:r>
      <w:r w:rsidR="004C4D01" w:rsidRPr="00600AFD">
        <w:rPr>
          <w:rFonts w:ascii="Times New Roman" w:hAnsi="Times New Roman" w:cs="Times New Roman"/>
          <w:szCs w:val="24"/>
        </w:rPr>
        <w:t>During</w:t>
      </w:r>
      <w:r w:rsidR="00C356D7" w:rsidRPr="00600AFD">
        <w:rPr>
          <w:rFonts w:ascii="Times New Roman" w:hAnsi="Times New Roman" w:cs="Times New Roman"/>
          <w:szCs w:val="24"/>
        </w:rPr>
        <w:t xml:space="preserve"> the </w:t>
      </w:r>
      <w:r w:rsidR="007866E3" w:rsidRPr="00600AFD">
        <w:rPr>
          <w:rFonts w:ascii="Times New Roman" w:hAnsi="Times New Roman" w:cs="Times New Roman"/>
          <w:szCs w:val="24"/>
        </w:rPr>
        <w:t>2013</w:t>
      </w:r>
      <w:r w:rsidR="000F3999">
        <w:rPr>
          <w:rFonts w:ascii="Times New Roman" w:hAnsi="Times New Roman" w:cs="Times New Roman"/>
          <w:szCs w:val="24"/>
        </w:rPr>
        <w:t>–</w:t>
      </w:r>
      <w:r w:rsidR="007866E3" w:rsidRPr="00600AFD">
        <w:rPr>
          <w:rFonts w:ascii="Times New Roman" w:hAnsi="Times New Roman" w:cs="Times New Roman"/>
          <w:szCs w:val="24"/>
        </w:rPr>
        <w:t>2018 NJRS</w:t>
      </w:r>
      <w:r w:rsidR="00C356D7" w:rsidRPr="00600AFD">
        <w:rPr>
          <w:rFonts w:ascii="Times New Roman" w:hAnsi="Times New Roman" w:cs="Times New Roman"/>
          <w:szCs w:val="24"/>
        </w:rPr>
        <w:t xml:space="preserve"> implementation period, significant </w:t>
      </w:r>
      <w:r w:rsidR="009B729A" w:rsidRPr="00600AFD">
        <w:rPr>
          <w:rFonts w:ascii="Times New Roman" w:hAnsi="Times New Roman" w:cs="Times New Roman"/>
          <w:szCs w:val="24"/>
        </w:rPr>
        <w:t>progress</w:t>
      </w:r>
      <w:r w:rsidR="00C356D7" w:rsidRPr="00600AFD">
        <w:rPr>
          <w:rFonts w:ascii="Times New Roman" w:hAnsi="Times New Roman" w:cs="Times New Roman"/>
          <w:szCs w:val="24"/>
        </w:rPr>
        <w:t xml:space="preserve"> has been </w:t>
      </w:r>
      <w:r w:rsidR="009B729A" w:rsidRPr="00600AFD">
        <w:rPr>
          <w:rFonts w:ascii="Times New Roman" w:hAnsi="Times New Roman" w:cs="Times New Roman"/>
          <w:szCs w:val="24"/>
        </w:rPr>
        <w:t xml:space="preserve">made regarding the advancement of the transparency of work of the High </w:t>
      </w:r>
      <w:r w:rsidR="00BF1FC7" w:rsidRPr="00600AFD">
        <w:rPr>
          <w:rFonts w:ascii="Times New Roman" w:hAnsi="Times New Roman" w:cs="Times New Roman"/>
          <w:szCs w:val="24"/>
        </w:rPr>
        <w:t>Court</w:t>
      </w:r>
      <w:r w:rsidR="009B729A" w:rsidRPr="00600AFD">
        <w:rPr>
          <w:rFonts w:ascii="Times New Roman" w:hAnsi="Times New Roman" w:cs="Times New Roman"/>
          <w:szCs w:val="24"/>
        </w:rPr>
        <w:t xml:space="preserve"> Council and the State Prosecutorial Council</w:t>
      </w:r>
      <w:r w:rsidR="00996A8E" w:rsidRPr="00600AFD">
        <w:rPr>
          <w:rFonts w:ascii="Times New Roman" w:hAnsi="Times New Roman" w:cs="Times New Roman"/>
          <w:szCs w:val="24"/>
        </w:rPr>
        <w:t xml:space="preserve">, respectively, in terms of </w:t>
      </w:r>
      <w:r w:rsidR="001D444F" w:rsidRPr="00600AFD">
        <w:rPr>
          <w:rFonts w:ascii="Times New Roman" w:hAnsi="Times New Roman" w:cs="Times New Roman"/>
          <w:szCs w:val="24"/>
        </w:rPr>
        <w:t xml:space="preserve">publication of </w:t>
      </w:r>
      <w:r w:rsidR="00996A8E" w:rsidRPr="00600AFD">
        <w:rPr>
          <w:rFonts w:ascii="Times New Roman" w:hAnsi="Times New Roman" w:cs="Times New Roman"/>
          <w:szCs w:val="24"/>
        </w:rPr>
        <w:t>their decisions,</w:t>
      </w:r>
      <w:r w:rsidR="001D444F" w:rsidRPr="00600AFD">
        <w:rPr>
          <w:rFonts w:ascii="Times New Roman" w:hAnsi="Times New Roman" w:cs="Times New Roman"/>
          <w:szCs w:val="24"/>
        </w:rPr>
        <w:t xml:space="preserve"> making it possible to follow</w:t>
      </w:r>
      <w:r w:rsidR="007D2C08" w:rsidRPr="00600AFD">
        <w:rPr>
          <w:rFonts w:ascii="Times New Roman" w:hAnsi="Times New Roman" w:cs="Times New Roman"/>
          <w:szCs w:val="24"/>
        </w:rPr>
        <w:t xml:space="preserve"> case proceedings and in respect </w:t>
      </w:r>
      <w:r w:rsidR="004C4D01" w:rsidRPr="00600AFD">
        <w:rPr>
          <w:rFonts w:ascii="Times New Roman" w:hAnsi="Times New Roman" w:cs="Times New Roman"/>
          <w:szCs w:val="24"/>
        </w:rPr>
        <w:t>to</w:t>
      </w:r>
      <w:r w:rsidR="007D2C08" w:rsidRPr="00600AFD">
        <w:rPr>
          <w:rFonts w:ascii="Times New Roman" w:hAnsi="Times New Roman" w:cs="Times New Roman"/>
          <w:szCs w:val="24"/>
        </w:rPr>
        <w:t xml:space="preserve"> accessibility of other electronic services for the citizens</w:t>
      </w:r>
      <w:r w:rsidR="008F75F8" w:rsidRPr="00600AFD">
        <w:rPr>
          <w:rFonts w:ascii="Times New Roman" w:hAnsi="Times New Roman" w:cs="Times New Roman"/>
          <w:szCs w:val="24"/>
        </w:rPr>
        <w:t xml:space="preserve">, thereby </w:t>
      </w:r>
      <w:r w:rsidR="00720A1A" w:rsidRPr="00600AFD">
        <w:rPr>
          <w:rFonts w:ascii="Times New Roman" w:hAnsi="Times New Roman" w:cs="Times New Roman"/>
          <w:szCs w:val="24"/>
        </w:rPr>
        <w:t>rendering better access to justice</w:t>
      </w:r>
      <w:r w:rsidR="00AB6A3C" w:rsidRPr="00600AFD">
        <w:rPr>
          <w:rFonts w:ascii="Times New Roman" w:hAnsi="Times New Roman" w:cs="Times New Roman"/>
          <w:szCs w:val="24"/>
        </w:rPr>
        <w:t xml:space="preserve">. Certain activities were also carried out to ensure </w:t>
      </w:r>
      <w:r w:rsidR="001A2348" w:rsidRPr="00600AFD">
        <w:rPr>
          <w:rFonts w:ascii="Times New Roman" w:hAnsi="Times New Roman" w:cs="Times New Roman"/>
          <w:szCs w:val="24"/>
        </w:rPr>
        <w:t>uniformity of contents on web pages of judicial bodies</w:t>
      </w:r>
      <w:r w:rsidR="004C4D01" w:rsidRPr="00600AFD">
        <w:rPr>
          <w:rFonts w:ascii="Times New Roman" w:hAnsi="Times New Roman" w:cs="Times New Roman"/>
          <w:szCs w:val="24"/>
        </w:rPr>
        <w:t>,</w:t>
      </w:r>
      <w:r w:rsidR="001A2348" w:rsidRPr="00600AFD">
        <w:rPr>
          <w:rFonts w:ascii="Times New Roman" w:hAnsi="Times New Roman" w:cs="Times New Roman"/>
          <w:szCs w:val="24"/>
        </w:rPr>
        <w:t xml:space="preserve"> as well as continuous training of individuals </w:t>
      </w:r>
      <w:r w:rsidR="00BF1FC7" w:rsidRPr="00600AFD">
        <w:rPr>
          <w:rFonts w:ascii="Times New Roman" w:hAnsi="Times New Roman" w:cs="Times New Roman"/>
          <w:szCs w:val="24"/>
        </w:rPr>
        <w:t xml:space="preserve">tasked with public outreach and public relations in </w:t>
      </w:r>
      <w:r w:rsidR="009E48FF" w:rsidRPr="00600AFD">
        <w:rPr>
          <w:rFonts w:ascii="Times New Roman" w:hAnsi="Times New Roman" w:cs="Times New Roman"/>
          <w:szCs w:val="24"/>
        </w:rPr>
        <w:t>judicial</w:t>
      </w:r>
      <w:r w:rsidR="00DE110F" w:rsidRPr="00600AFD">
        <w:rPr>
          <w:rFonts w:ascii="Times New Roman" w:hAnsi="Times New Roman" w:cs="Times New Roman"/>
          <w:szCs w:val="24"/>
        </w:rPr>
        <w:t xml:space="preserve"> bodies</w:t>
      </w:r>
      <w:r w:rsidR="00B61276" w:rsidRPr="00600AFD">
        <w:rPr>
          <w:rFonts w:ascii="Times New Roman" w:hAnsi="Times New Roman" w:cs="Times New Roman"/>
          <w:szCs w:val="24"/>
        </w:rPr>
        <w:t xml:space="preserve">. </w:t>
      </w:r>
    </w:p>
    <w:p w14:paraId="1E468B98" w14:textId="06A8196A" w:rsidR="00BC038F" w:rsidRPr="00600AFD" w:rsidRDefault="00A649E4" w:rsidP="00BD7A5B">
      <w:pPr>
        <w:spacing w:line="276" w:lineRule="auto"/>
        <w:rPr>
          <w:rFonts w:ascii="Times New Roman" w:hAnsi="Times New Roman" w:cs="Times New Roman"/>
          <w:szCs w:val="24"/>
        </w:rPr>
      </w:pPr>
      <w:r w:rsidRPr="00600AFD">
        <w:rPr>
          <w:rFonts w:ascii="Times New Roman" w:hAnsi="Times New Roman" w:cs="Times New Roman"/>
          <w:szCs w:val="24"/>
        </w:rPr>
        <w:t xml:space="preserve">The </w:t>
      </w:r>
      <w:r w:rsidR="00AF3C1A" w:rsidRPr="00600AFD">
        <w:rPr>
          <w:rFonts w:ascii="Times New Roman" w:hAnsi="Times New Roman" w:cs="Times New Roman"/>
          <w:szCs w:val="24"/>
        </w:rPr>
        <w:t xml:space="preserve">High </w:t>
      </w:r>
      <w:r w:rsidR="00BF1FC7" w:rsidRPr="00600AFD">
        <w:rPr>
          <w:rFonts w:ascii="Times New Roman" w:hAnsi="Times New Roman" w:cs="Times New Roman"/>
          <w:szCs w:val="24"/>
        </w:rPr>
        <w:t>Court</w:t>
      </w:r>
      <w:r w:rsidR="00AF3C1A" w:rsidRPr="00600AFD">
        <w:rPr>
          <w:rFonts w:ascii="Times New Roman" w:hAnsi="Times New Roman" w:cs="Times New Roman"/>
          <w:szCs w:val="24"/>
        </w:rPr>
        <w:t xml:space="preserve"> Council and the State Prosecutorial Council recognized the importance of planning and strategic orientation </w:t>
      </w:r>
      <w:r w:rsidR="003651C9" w:rsidRPr="00600AFD">
        <w:rPr>
          <w:rFonts w:ascii="Times New Roman" w:hAnsi="Times New Roman" w:cs="Times New Roman"/>
          <w:szCs w:val="24"/>
        </w:rPr>
        <w:t xml:space="preserve">towards advancement of openness </w:t>
      </w:r>
      <w:r w:rsidR="00192B3B" w:rsidRPr="00600AFD">
        <w:rPr>
          <w:rFonts w:ascii="Times New Roman" w:hAnsi="Times New Roman" w:cs="Times New Roman"/>
          <w:szCs w:val="24"/>
        </w:rPr>
        <w:t xml:space="preserve">of their work as well as </w:t>
      </w:r>
      <w:r w:rsidR="00250595" w:rsidRPr="00600AFD">
        <w:rPr>
          <w:rFonts w:ascii="Times New Roman" w:hAnsi="Times New Roman" w:cs="Times New Roman"/>
          <w:szCs w:val="24"/>
        </w:rPr>
        <w:t xml:space="preserve">of </w:t>
      </w:r>
      <w:r w:rsidR="00192B3B" w:rsidRPr="00600AFD">
        <w:rPr>
          <w:rFonts w:ascii="Times New Roman" w:hAnsi="Times New Roman" w:cs="Times New Roman"/>
          <w:szCs w:val="24"/>
        </w:rPr>
        <w:t xml:space="preserve">the work of courts and prosecutors’ offices. The High </w:t>
      </w:r>
      <w:r w:rsidR="00BF1FC7" w:rsidRPr="00600AFD">
        <w:rPr>
          <w:rFonts w:ascii="Times New Roman" w:hAnsi="Times New Roman" w:cs="Times New Roman"/>
          <w:szCs w:val="24"/>
        </w:rPr>
        <w:t>Court</w:t>
      </w:r>
      <w:r w:rsidR="00192B3B" w:rsidRPr="00600AFD">
        <w:rPr>
          <w:rFonts w:ascii="Times New Roman" w:hAnsi="Times New Roman" w:cs="Times New Roman"/>
          <w:szCs w:val="24"/>
        </w:rPr>
        <w:t xml:space="preserve"> Council</w:t>
      </w:r>
      <w:r w:rsidR="00CE7045" w:rsidRPr="00600AFD">
        <w:rPr>
          <w:rFonts w:ascii="Times New Roman" w:hAnsi="Times New Roman" w:cs="Times New Roman"/>
          <w:szCs w:val="24"/>
        </w:rPr>
        <w:t xml:space="preserve"> </w:t>
      </w:r>
      <w:r w:rsidR="00ED7D46" w:rsidRPr="00600AFD">
        <w:rPr>
          <w:rFonts w:ascii="Times New Roman" w:hAnsi="Times New Roman" w:cs="Times New Roman"/>
          <w:szCs w:val="24"/>
        </w:rPr>
        <w:t>adopted its communication strategies in 2013 and 2016, respectively, while the State Prosecutorial Council</w:t>
      </w:r>
      <w:r w:rsidR="00CE7045" w:rsidRPr="00600AFD">
        <w:rPr>
          <w:rFonts w:ascii="Times New Roman" w:hAnsi="Times New Roman" w:cs="Times New Roman"/>
          <w:szCs w:val="24"/>
        </w:rPr>
        <w:t xml:space="preserve"> </w:t>
      </w:r>
      <w:r w:rsidR="00ED7D46" w:rsidRPr="00600AFD">
        <w:rPr>
          <w:rFonts w:ascii="Times New Roman" w:hAnsi="Times New Roman" w:cs="Times New Roman"/>
          <w:szCs w:val="24"/>
        </w:rPr>
        <w:t>and the Republic Public Prosecutor’s Office adopted their communication strategy in 2015 for a five</w:t>
      </w:r>
      <w:r w:rsidR="000F3999">
        <w:rPr>
          <w:rFonts w:ascii="Times New Roman" w:hAnsi="Times New Roman" w:cs="Times New Roman"/>
          <w:szCs w:val="24"/>
        </w:rPr>
        <w:t>–</w:t>
      </w:r>
      <w:r w:rsidR="00ED7D46" w:rsidRPr="00600AFD">
        <w:rPr>
          <w:rFonts w:ascii="Times New Roman" w:hAnsi="Times New Roman" w:cs="Times New Roman"/>
          <w:szCs w:val="24"/>
        </w:rPr>
        <w:t xml:space="preserve">year period. In late </w:t>
      </w:r>
      <w:r w:rsidR="00BD7A5B" w:rsidRPr="00600AFD">
        <w:rPr>
          <w:rFonts w:ascii="Times New Roman" w:hAnsi="Times New Roman" w:cs="Times New Roman"/>
          <w:szCs w:val="24"/>
        </w:rPr>
        <w:t>2018</w:t>
      </w:r>
      <w:r w:rsidR="00ED7D46" w:rsidRPr="00600AFD">
        <w:rPr>
          <w:rFonts w:ascii="Times New Roman" w:hAnsi="Times New Roman" w:cs="Times New Roman"/>
          <w:szCs w:val="24"/>
        </w:rPr>
        <w:t xml:space="preserve">, the </w:t>
      </w:r>
      <w:r w:rsidR="00192B3B" w:rsidRPr="00600AFD">
        <w:rPr>
          <w:rFonts w:ascii="Times New Roman" w:hAnsi="Times New Roman" w:cs="Times New Roman"/>
          <w:szCs w:val="24"/>
        </w:rPr>
        <w:t xml:space="preserve">High </w:t>
      </w:r>
      <w:r w:rsidR="00BF1FC7" w:rsidRPr="00600AFD">
        <w:rPr>
          <w:rFonts w:ascii="Times New Roman" w:hAnsi="Times New Roman" w:cs="Times New Roman"/>
          <w:szCs w:val="24"/>
        </w:rPr>
        <w:t>Court</w:t>
      </w:r>
      <w:r w:rsidR="00192B3B" w:rsidRPr="00600AFD">
        <w:rPr>
          <w:rFonts w:ascii="Times New Roman" w:hAnsi="Times New Roman" w:cs="Times New Roman"/>
          <w:szCs w:val="24"/>
        </w:rPr>
        <w:t xml:space="preserve"> Council</w:t>
      </w:r>
      <w:r w:rsidR="00BD7A5B" w:rsidRPr="00600AFD">
        <w:rPr>
          <w:rFonts w:ascii="Times New Roman" w:hAnsi="Times New Roman" w:cs="Times New Roman"/>
          <w:szCs w:val="24"/>
        </w:rPr>
        <w:t xml:space="preserve"> </w:t>
      </w:r>
      <w:r w:rsidR="00ED7D46" w:rsidRPr="00600AFD">
        <w:rPr>
          <w:rFonts w:ascii="Times New Roman" w:hAnsi="Times New Roman" w:cs="Times New Roman"/>
          <w:szCs w:val="24"/>
        </w:rPr>
        <w:t xml:space="preserve">reiterated its commitment to the strengthening of </w:t>
      </w:r>
      <w:r w:rsidR="009E48FF" w:rsidRPr="00600AFD">
        <w:rPr>
          <w:rFonts w:ascii="Times New Roman" w:hAnsi="Times New Roman" w:cs="Times New Roman"/>
          <w:szCs w:val="24"/>
        </w:rPr>
        <w:t>transparency</w:t>
      </w:r>
      <w:r w:rsidR="00ED7D46" w:rsidRPr="00600AFD">
        <w:rPr>
          <w:rFonts w:ascii="Times New Roman" w:hAnsi="Times New Roman" w:cs="Times New Roman"/>
          <w:szCs w:val="24"/>
        </w:rPr>
        <w:t xml:space="preserve"> and public relations, as well as the </w:t>
      </w:r>
      <w:r w:rsidR="009E48FF" w:rsidRPr="00600AFD">
        <w:rPr>
          <w:rFonts w:ascii="Times New Roman" w:hAnsi="Times New Roman" w:cs="Times New Roman"/>
          <w:szCs w:val="24"/>
        </w:rPr>
        <w:t>importance</w:t>
      </w:r>
      <w:r w:rsidR="00ED7D46" w:rsidRPr="00600AFD">
        <w:rPr>
          <w:rFonts w:ascii="Times New Roman" w:hAnsi="Times New Roman" w:cs="Times New Roman"/>
          <w:szCs w:val="24"/>
        </w:rPr>
        <w:t xml:space="preserve"> of a permanent two</w:t>
      </w:r>
      <w:r w:rsidR="000F3999">
        <w:rPr>
          <w:rFonts w:ascii="Times New Roman" w:hAnsi="Times New Roman" w:cs="Times New Roman"/>
          <w:szCs w:val="24"/>
        </w:rPr>
        <w:t>–</w:t>
      </w:r>
      <w:r w:rsidR="00ED7D46" w:rsidRPr="00600AFD">
        <w:rPr>
          <w:rFonts w:ascii="Times New Roman" w:hAnsi="Times New Roman" w:cs="Times New Roman"/>
          <w:szCs w:val="24"/>
        </w:rPr>
        <w:t>way communication with the media by way of adopting its new communication strategy spanning a four</w:t>
      </w:r>
      <w:r w:rsidR="000F3999">
        <w:rPr>
          <w:rFonts w:ascii="Times New Roman" w:hAnsi="Times New Roman" w:cs="Times New Roman"/>
          <w:szCs w:val="24"/>
        </w:rPr>
        <w:t>–</w:t>
      </w:r>
      <w:r w:rsidR="00ED7D46" w:rsidRPr="00600AFD">
        <w:rPr>
          <w:rFonts w:ascii="Times New Roman" w:hAnsi="Times New Roman" w:cs="Times New Roman"/>
          <w:szCs w:val="24"/>
        </w:rPr>
        <w:t xml:space="preserve">year period </w:t>
      </w:r>
      <w:r w:rsidR="00BD7A5B" w:rsidRPr="00600AFD">
        <w:rPr>
          <w:rFonts w:ascii="Times New Roman" w:hAnsi="Times New Roman" w:cs="Times New Roman"/>
          <w:szCs w:val="24"/>
        </w:rPr>
        <w:t>(2018</w:t>
      </w:r>
      <w:r w:rsidR="000F3999">
        <w:rPr>
          <w:rFonts w:ascii="Times New Roman" w:hAnsi="Times New Roman" w:cs="Times New Roman"/>
          <w:szCs w:val="24"/>
        </w:rPr>
        <w:t>–</w:t>
      </w:r>
      <w:r w:rsidR="00E54890" w:rsidRPr="00600AFD">
        <w:rPr>
          <w:rFonts w:ascii="Times New Roman" w:hAnsi="Times New Roman" w:cs="Times New Roman"/>
          <w:szCs w:val="24"/>
        </w:rPr>
        <w:t>202</w:t>
      </w:r>
      <w:r w:rsidR="00222AFF" w:rsidRPr="00600AFD">
        <w:rPr>
          <w:rFonts w:ascii="Times New Roman" w:hAnsi="Times New Roman" w:cs="Times New Roman"/>
          <w:szCs w:val="24"/>
        </w:rPr>
        <w:t>2</w:t>
      </w:r>
      <w:r w:rsidR="00E54890" w:rsidRPr="00600AFD">
        <w:rPr>
          <w:rFonts w:ascii="Times New Roman" w:hAnsi="Times New Roman" w:cs="Times New Roman"/>
          <w:szCs w:val="24"/>
        </w:rPr>
        <w:t>)</w:t>
      </w:r>
      <w:r w:rsidR="00222AFF" w:rsidRPr="00600AFD">
        <w:rPr>
          <w:rFonts w:ascii="Times New Roman" w:hAnsi="Times New Roman" w:cs="Times New Roman"/>
          <w:szCs w:val="24"/>
        </w:rPr>
        <w:t>,</w:t>
      </w:r>
      <w:r w:rsidR="00E54890" w:rsidRPr="00600AFD">
        <w:rPr>
          <w:rFonts w:ascii="Times New Roman" w:hAnsi="Times New Roman" w:cs="Times New Roman"/>
          <w:szCs w:val="24"/>
        </w:rPr>
        <w:t xml:space="preserve"> </w:t>
      </w:r>
      <w:r w:rsidR="00ED7D46" w:rsidRPr="00600AFD">
        <w:rPr>
          <w:rFonts w:ascii="Times New Roman" w:hAnsi="Times New Roman" w:cs="Times New Roman"/>
          <w:szCs w:val="24"/>
        </w:rPr>
        <w:t xml:space="preserve">whose strategic </w:t>
      </w:r>
      <w:r w:rsidR="009E48FF" w:rsidRPr="00600AFD">
        <w:rPr>
          <w:rFonts w:ascii="Times New Roman" w:hAnsi="Times New Roman" w:cs="Times New Roman"/>
          <w:szCs w:val="24"/>
        </w:rPr>
        <w:t>objectives</w:t>
      </w:r>
      <w:r w:rsidR="00ED7D46" w:rsidRPr="00600AFD">
        <w:rPr>
          <w:rFonts w:ascii="Times New Roman" w:hAnsi="Times New Roman" w:cs="Times New Roman"/>
          <w:szCs w:val="24"/>
        </w:rPr>
        <w:t xml:space="preserve"> and measures were also extended to </w:t>
      </w:r>
      <w:r w:rsidR="002A1908" w:rsidRPr="00600AFD">
        <w:rPr>
          <w:rFonts w:ascii="Times New Roman" w:hAnsi="Times New Roman" w:cs="Times New Roman"/>
          <w:szCs w:val="24"/>
        </w:rPr>
        <w:t xml:space="preserve">the </w:t>
      </w:r>
      <w:r w:rsidR="00ED7D46" w:rsidRPr="00600AFD">
        <w:rPr>
          <w:rFonts w:ascii="Times New Roman" w:hAnsi="Times New Roman" w:cs="Times New Roman"/>
          <w:szCs w:val="24"/>
        </w:rPr>
        <w:t xml:space="preserve">advancement of openness and proactive communication in all courts in the Republic of Serbia. </w:t>
      </w:r>
    </w:p>
    <w:p w14:paraId="13661B1E" w14:textId="2D9F060E" w:rsidR="003A1B30" w:rsidRPr="00600AFD" w:rsidRDefault="00675030" w:rsidP="003A1B30">
      <w:pPr>
        <w:spacing w:line="276" w:lineRule="auto"/>
        <w:rPr>
          <w:rFonts w:ascii="Times New Roman" w:hAnsi="Times New Roman" w:cs="Times New Roman"/>
          <w:szCs w:val="24"/>
        </w:rPr>
      </w:pPr>
      <w:r w:rsidRPr="00600AFD">
        <w:rPr>
          <w:rFonts w:ascii="Times New Roman" w:hAnsi="Times New Roman" w:cs="Times New Roman"/>
          <w:szCs w:val="24"/>
        </w:rPr>
        <w:t xml:space="preserve">In an era of </w:t>
      </w:r>
      <w:r w:rsidR="009F08D9" w:rsidRPr="00600AFD">
        <w:rPr>
          <w:rFonts w:ascii="Times New Roman" w:hAnsi="Times New Roman" w:cs="Times New Roman"/>
          <w:szCs w:val="24"/>
        </w:rPr>
        <w:t xml:space="preserve">fast flow and exchange of information, judicial bodies should, to the extent permitted by the law and procedural </w:t>
      </w:r>
      <w:r w:rsidR="00610F5F" w:rsidRPr="00600AFD">
        <w:rPr>
          <w:rFonts w:ascii="Times New Roman" w:hAnsi="Times New Roman" w:cs="Times New Roman"/>
          <w:szCs w:val="24"/>
        </w:rPr>
        <w:t xml:space="preserve">rules, build </w:t>
      </w:r>
      <w:r w:rsidR="00DB1671" w:rsidRPr="00600AFD">
        <w:rPr>
          <w:rFonts w:ascii="Times New Roman" w:hAnsi="Times New Roman" w:cs="Times New Roman"/>
          <w:szCs w:val="24"/>
        </w:rPr>
        <w:t xml:space="preserve">the public trust by presenting </w:t>
      </w:r>
      <w:r w:rsidR="005933FB" w:rsidRPr="00600AFD">
        <w:rPr>
          <w:rFonts w:ascii="Times New Roman" w:hAnsi="Times New Roman" w:cs="Times New Roman"/>
          <w:szCs w:val="24"/>
        </w:rPr>
        <w:t xml:space="preserve">continuously </w:t>
      </w:r>
      <w:r w:rsidR="000A7D5B" w:rsidRPr="00600AFD">
        <w:rPr>
          <w:rFonts w:ascii="Times New Roman" w:hAnsi="Times New Roman" w:cs="Times New Roman"/>
          <w:szCs w:val="24"/>
        </w:rPr>
        <w:t xml:space="preserve">to the media and citizens </w:t>
      </w:r>
      <w:r w:rsidR="00D257DB" w:rsidRPr="00600AFD">
        <w:rPr>
          <w:rFonts w:ascii="Times New Roman" w:hAnsi="Times New Roman" w:cs="Times New Roman"/>
          <w:szCs w:val="24"/>
        </w:rPr>
        <w:t xml:space="preserve">in a responsible and </w:t>
      </w:r>
      <w:r w:rsidR="001D6015" w:rsidRPr="00600AFD">
        <w:rPr>
          <w:rFonts w:ascii="Times New Roman" w:hAnsi="Times New Roman" w:cs="Times New Roman"/>
          <w:szCs w:val="24"/>
        </w:rPr>
        <w:t xml:space="preserve">professional </w:t>
      </w:r>
      <w:r w:rsidR="0043247D" w:rsidRPr="00600AFD">
        <w:rPr>
          <w:rFonts w:ascii="Times New Roman" w:hAnsi="Times New Roman" w:cs="Times New Roman"/>
          <w:szCs w:val="24"/>
        </w:rPr>
        <w:t xml:space="preserve">manner </w:t>
      </w:r>
      <w:r w:rsidR="003301F2" w:rsidRPr="00600AFD">
        <w:rPr>
          <w:rFonts w:ascii="Times New Roman" w:hAnsi="Times New Roman" w:cs="Times New Roman"/>
          <w:szCs w:val="24"/>
        </w:rPr>
        <w:t xml:space="preserve">the information </w:t>
      </w:r>
      <w:r w:rsidR="00326FEE" w:rsidRPr="00600AFD">
        <w:rPr>
          <w:rFonts w:ascii="Times New Roman" w:hAnsi="Times New Roman" w:cs="Times New Roman"/>
          <w:szCs w:val="24"/>
        </w:rPr>
        <w:t>that portray</w:t>
      </w:r>
      <w:r w:rsidR="00DF3876" w:rsidRPr="00600AFD">
        <w:rPr>
          <w:rFonts w:ascii="Times New Roman" w:hAnsi="Times New Roman" w:cs="Times New Roman"/>
          <w:szCs w:val="24"/>
        </w:rPr>
        <w:t>s</w:t>
      </w:r>
      <w:r w:rsidR="00D80C3E" w:rsidRPr="00600AFD">
        <w:rPr>
          <w:rFonts w:ascii="Times New Roman" w:hAnsi="Times New Roman" w:cs="Times New Roman"/>
          <w:szCs w:val="24"/>
        </w:rPr>
        <w:t xml:space="preserve"> the importance </w:t>
      </w:r>
      <w:r w:rsidR="00BC77C4" w:rsidRPr="00600AFD">
        <w:rPr>
          <w:rFonts w:ascii="Times New Roman" w:hAnsi="Times New Roman" w:cs="Times New Roman"/>
          <w:szCs w:val="24"/>
        </w:rPr>
        <w:t xml:space="preserve">of </w:t>
      </w:r>
      <w:r w:rsidR="00A53693" w:rsidRPr="00600AFD">
        <w:rPr>
          <w:rFonts w:ascii="Times New Roman" w:hAnsi="Times New Roman" w:cs="Times New Roman"/>
          <w:szCs w:val="24"/>
        </w:rPr>
        <w:t xml:space="preserve">the work of judiciary </w:t>
      </w:r>
      <w:r w:rsidR="00152218" w:rsidRPr="00600AFD">
        <w:rPr>
          <w:rFonts w:ascii="Times New Roman" w:hAnsi="Times New Roman" w:cs="Times New Roman"/>
          <w:szCs w:val="24"/>
        </w:rPr>
        <w:t xml:space="preserve">and efforts made </w:t>
      </w:r>
      <w:r w:rsidR="008C4AB6" w:rsidRPr="00600AFD">
        <w:rPr>
          <w:rFonts w:ascii="Times New Roman" w:hAnsi="Times New Roman" w:cs="Times New Roman"/>
          <w:szCs w:val="24"/>
        </w:rPr>
        <w:t xml:space="preserve">to </w:t>
      </w:r>
      <w:r w:rsidR="00106A36" w:rsidRPr="00600AFD">
        <w:rPr>
          <w:rFonts w:ascii="Times New Roman" w:hAnsi="Times New Roman" w:cs="Times New Roman"/>
          <w:szCs w:val="24"/>
        </w:rPr>
        <w:t xml:space="preserve">administer justice </w:t>
      </w:r>
      <w:r w:rsidR="00313F10" w:rsidRPr="00600AFD">
        <w:rPr>
          <w:rFonts w:ascii="Times New Roman" w:hAnsi="Times New Roman" w:cs="Times New Roman"/>
          <w:szCs w:val="24"/>
        </w:rPr>
        <w:t xml:space="preserve">in an </w:t>
      </w:r>
      <w:r w:rsidR="00DF3876" w:rsidRPr="00600AFD">
        <w:rPr>
          <w:rFonts w:ascii="Times New Roman" w:hAnsi="Times New Roman" w:cs="Times New Roman"/>
          <w:szCs w:val="24"/>
        </w:rPr>
        <w:t>easy</w:t>
      </w:r>
      <w:r w:rsidR="000F3999">
        <w:rPr>
          <w:rFonts w:ascii="Times New Roman" w:hAnsi="Times New Roman" w:cs="Times New Roman"/>
          <w:szCs w:val="24"/>
        </w:rPr>
        <w:t>–</w:t>
      </w:r>
      <w:r w:rsidR="00D64336" w:rsidRPr="00600AFD">
        <w:rPr>
          <w:rFonts w:ascii="Times New Roman" w:hAnsi="Times New Roman" w:cs="Times New Roman"/>
          <w:szCs w:val="24"/>
        </w:rPr>
        <w:t>to</w:t>
      </w:r>
      <w:r w:rsidR="000F3999">
        <w:rPr>
          <w:rFonts w:ascii="Times New Roman" w:hAnsi="Times New Roman" w:cs="Times New Roman"/>
          <w:szCs w:val="24"/>
        </w:rPr>
        <w:t>–</w:t>
      </w:r>
      <w:r w:rsidR="00D64336" w:rsidRPr="00600AFD">
        <w:rPr>
          <w:rFonts w:ascii="Times New Roman" w:hAnsi="Times New Roman" w:cs="Times New Roman"/>
          <w:szCs w:val="24"/>
        </w:rPr>
        <w:t>understand</w:t>
      </w:r>
      <w:r w:rsidR="00EE7EB6" w:rsidRPr="00600AFD">
        <w:rPr>
          <w:rFonts w:ascii="Times New Roman" w:hAnsi="Times New Roman" w:cs="Times New Roman"/>
          <w:szCs w:val="24"/>
        </w:rPr>
        <w:t xml:space="preserve"> </w:t>
      </w:r>
      <w:r w:rsidR="0043247D" w:rsidRPr="00600AFD">
        <w:rPr>
          <w:rFonts w:ascii="Times New Roman" w:hAnsi="Times New Roman" w:cs="Times New Roman"/>
          <w:szCs w:val="24"/>
        </w:rPr>
        <w:t>way</w:t>
      </w:r>
      <w:r w:rsidR="00EE7EB6" w:rsidRPr="00600AFD">
        <w:rPr>
          <w:rFonts w:ascii="Times New Roman" w:hAnsi="Times New Roman" w:cs="Times New Roman"/>
          <w:szCs w:val="24"/>
        </w:rPr>
        <w:t>.</w:t>
      </w:r>
      <w:r w:rsidR="0043247D" w:rsidRPr="00600AFD">
        <w:rPr>
          <w:rFonts w:ascii="Times New Roman" w:hAnsi="Times New Roman" w:cs="Times New Roman"/>
          <w:szCs w:val="24"/>
        </w:rPr>
        <w:t xml:space="preserve"> At the same time, the judiciary must </w:t>
      </w:r>
      <w:r w:rsidR="00A72A0A" w:rsidRPr="00600AFD">
        <w:rPr>
          <w:rFonts w:ascii="Times New Roman" w:hAnsi="Times New Roman" w:cs="Times New Roman"/>
          <w:szCs w:val="24"/>
        </w:rPr>
        <w:t>also strike</w:t>
      </w:r>
      <w:r w:rsidR="00BF1FC7" w:rsidRPr="00600AFD">
        <w:rPr>
          <w:rFonts w:ascii="Times New Roman" w:hAnsi="Times New Roman" w:cs="Times New Roman"/>
          <w:szCs w:val="24"/>
        </w:rPr>
        <w:t xml:space="preserve"> a</w:t>
      </w:r>
      <w:r w:rsidR="00A72A0A" w:rsidRPr="00600AFD">
        <w:rPr>
          <w:rFonts w:ascii="Times New Roman" w:hAnsi="Times New Roman" w:cs="Times New Roman"/>
          <w:szCs w:val="24"/>
        </w:rPr>
        <w:t xml:space="preserve"> delicate balance </w:t>
      </w:r>
      <w:r w:rsidR="006334F9" w:rsidRPr="00600AFD">
        <w:rPr>
          <w:rFonts w:ascii="Times New Roman" w:hAnsi="Times New Roman" w:cs="Times New Roman"/>
          <w:szCs w:val="24"/>
        </w:rPr>
        <w:t xml:space="preserve">between the legitimate right of the public to be informed </w:t>
      </w:r>
      <w:r w:rsidR="003059D3" w:rsidRPr="00600AFD">
        <w:rPr>
          <w:rFonts w:ascii="Times New Roman" w:hAnsi="Times New Roman" w:cs="Times New Roman"/>
          <w:szCs w:val="24"/>
        </w:rPr>
        <w:t xml:space="preserve">and </w:t>
      </w:r>
      <w:r w:rsidR="000A00DB" w:rsidRPr="00600AFD">
        <w:rPr>
          <w:rFonts w:ascii="Times New Roman" w:hAnsi="Times New Roman" w:cs="Times New Roman"/>
          <w:szCs w:val="24"/>
        </w:rPr>
        <w:t xml:space="preserve">ubiquitous media attention on </w:t>
      </w:r>
      <w:r w:rsidR="00BF1FC7" w:rsidRPr="00600AFD">
        <w:rPr>
          <w:rFonts w:ascii="Times New Roman" w:hAnsi="Times New Roman" w:cs="Times New Roman"/>
          <w:szCs w:val="24"/>
        </w:rPr>
        <w:t xml:space="preserve">the </w:t>
      </w:r>
      <w:r w:rsidR="000A00DB" w:rsidRPr="00600AFD">
        <w:rPr>
          <w:rFonts w:ascii="Times New Roman" w:hAnsi="Times New Roman" w:cs="Times New Roman"/>
          <w:szCs w:val="24"/>
        </w:rPr>
        <w:t>one hand (in particular with regard to the so</w:t>
      </w:r>
      <w:r w:rsidR="000F3999">
        <w:rPr>
          <w:rFonts w:ascii="Times New Roman" w:hAnsi="Times New Roman" w:cs="Times New Roman"/>
          <w:szCs w:val="24"/>
        </w:rPr>
        <w:t>–</w:t>
      </w:r>
      <w:r w:rsidR="000A00DB" w:rsidRPr="00600AFD">
        <w:rPr>
          <w:rFonts w:ascii="Times New Roman" w:hAnsi="Times New Roman" w:cs="Times New Roman"/>
          <w:szCs w:val="24"/>
        </w:rPr>
        <w:t xml:space="preserve">called </w:t>
      </w:r>
      <w:r w:rsidR="000B67BD" w:rsidRPr="00600AFD">
        <w:rPr>
          <w:rFonts w:ascii="Times New Roman" w:hAnsi="Times New Roman" w:cs="Times New Roman"/>
          <w:szCs w:val="24"/>
        </w:rPr>
        <w:t xml:space="preserve">media cases </w:t>
      </w:r>
      <w:r w:rsidR="00F9068D" w:rsidRPr="00600AFD">
        <w:rPr>
          <w:rFonts w:ascii="Times New Roman" w:hAnsi="Times New Roman" w:cs="Times New Roman"/>
          <w:szCs w:val="24"/>
        </w:rPr>
        <w:t xml:space="preserve">which, as a rule, attract </w:t>
      </w:r>
      <w:r w:rsidR="002C25F3" w:rsidRPr="00600AFD">
        <w:rPr>
          <w:rFonts w:ascii="Times New Roman" w:hAnsi="Times New Roman" w:cs="Times New Roman"/>
          <w:szCs w:val="24"/>
        </w:rPr>
        <w:t>great</w:t>
      </w:r>
      <w:r w:rsidR="00283354" w:rsidRPr="00600AFD">
        <w:rPr>
          <w:rFonts w:ascii="Times New Roman" w:hAnsi="Times New Roman" w:cs="Times New Roman"/>
          <w:szCs w:val="24"/>
        </w:rPr>
        <w:t xml:space="preserve"> public attention)</w:t>
      </w:r>
      <w:r w:rsidR="007E595C" w:rsidRPr="00600AFD">
        <w:rPr>
          <w:rFonts w:ascii="Times New Roman" w:hAnsi="Times New Roman" w:cs="Times New Roman"/>
          <w:szCs w:val="24"/>
        </w:rPr>
        <w:t xml:space="preserve">, </w:t>
      </w:r>
      <w:r w:rsidR="00461BE5" w:rsidRPr="00600AFD">
        <w:rPr>
          <w:rFonts w:ascii="Times New Roman" w:hAnsi="Times New Roman" w:cs="Times New Roman"/>
          <w:szCs w:val="24"/>
        </w:rPr>
        <w:t xml:space="preserve">and </w:t>
      </w:r>
      <w:r w:rsidR="00056275" w:rsidRPr="00600AFD">
        <w:rPr>
          <w:rFonts w:ascii="Times New Roman" w:hAnsi="Times New Roman" w:cs="Times New Roman"/>
          <w:szCs w:val="24"/>
        </w:rPr>
        <w:t>the respect for the presumption of innocence</w:t>
      </w:r>
      <w:r w:rsidR="003A667A" w:rsidRPr="00600AFD">
        <w:rPr>
          <w:rFonts w:ascii="Times New Roman" w:hAnsi="Times New Roman" w:cs="Times New Roman"/>
          <w:szCs w:val="24"/>
        </w:rPr>
        <w:t>, as well as</w:t>
      </w:r>
      <w:r w:rsidR="00BF1FC7" w:rsidRPr="00600AFD">
        <w:rPr>
          <w:rFonts w:ascii="Times New Roman" w:hAnsi="Times New Roman" w:cs="Times New Roman"/>
          <w:szCs w:val="24"/>
        </w:rPr>
        <w:t>, on the other hand,</w:t>
      </w:r>
      <w:r w:rsidR="003A667A" w:rsidRPr="00600AFD">
        <w:rPr>
          <w:rFonts w:ascii="Times New Roman" w:hAnsi="Times New Roman" w:cs="Times New Roman"/>
          <w:szCs w:val="24"/>
        </w:rPr>
        <w:t xml:space="preserve"> </w:t>
      </w:r>
      <w:r w:rsidR="00C13B45" w:rsidRPr="00600AFD">
        <w:rPr>
          <w:rFonts w:ascii="Times New Roman" w:hAnsi="Times New Roman" w:cs="Times New Roman"/>
          <w:szCs w:val="24"/>
        </w:rPr>
        <w:t xml:space="preserve">protection </w:t>
      </w:r>
      <w:r w:rsidR="00BF1FC7" w:rsidRPr="00600AFD">
        <w:rPr>
          <w:rFonts w:ascii="Times New Roman" w:hAnsi="Times New Roman" w:cs="Times New Roman"/>
          <w:szCs w:val="24"/>
        </w:rPr>
        <w:t>of</w:t>
      </w:r>
      <w:r w:rsidR="00C13B45" w:rsidRPr="00600AFD">
        <w:rPr>
          <w:rFonts w:ascii="Times New Roman" w:hAnsi="Times New Roman" w:cs="Times New Roman"/>
          <w:szCs w:val="24"/>
        </w:rPr>
        <w:t xml:space="preserve"> </w:t>
      </w:r>
      <w:r w:rsidR="00A57A11" w:rsidRPr="00600AFD">
        <w:rPr>
          <w:rFonts w:ascii="Times New Roman" w:hAnsi="Times New Roman" w:cs="Times New Roman"/>
          <w:szCs w:val="24"/>
        </w:rPr>
        <w:t xml:space="preserve">the right to privacy, fair trial, the rights of victims and witnesses </w:t>
      </w:r>
      <w:r w:rsidR="003402A1" w:rsidRPr="00600AFD">
        <w:rPr>
          <w:rFonts w:ascii="Times New Roman" w:hAnsi="Times New Roman" w:cs="Times New Roman"/>
          <w:szCs w:val="24"/>
        </w:rPr>
        <w:t xml:space="preserve">and other parties in the proceedings. </w:t>
      </w:r>
    </w:p>
    <w:p w14:paraId="4F2AF9A8" w14:textId="2DC47F96" w:rsidR="00070A76" w:rsidRPr="00600AFD" w:rsidRDefault="005A5B04" w:rsidP="00E54890">
      <w:pPr>
        <w:spacing w:line="276" w:lineRule="auto"/>
        <w:rPr>
          <w:rFonts w:ascii="Times New Roman" w:hAnsi="Times New Roman" w:cs="Times New Roman"/>
          <w:szCs w:val="24"/>
        </w:rPr>
      </w:pPr>
      <w:r w:rsidRPr="00600AFD">
        <w:rPr>
          <w:rFonts w:ascii="Times New Roman" w:hAnsi="Times New Roman" w:cs="Times New Roman"/>
          <w:szCs w:val="24"/>
        </w:rPr>
        <w:lastRenderedPageBreak/>
        <w:t xml:space="preserve">In the </w:t>
      </w:r>
      <w:r w:rsidR="00631548" w:rsidRPr="00600AFD">
        <w:rPr>
          <w:rFonts w:ascii="Times New Roman" w:hAnsi="Times New Roman" w:cs="Times New Roman"/>
          <w:szCs w:val="24"/>
        </w:rPr>
        <w:t xml:space="preserve">upcoming </w:t>
      </w:r>
      <w:r w:rsidRPr="00600AFD">
        <w:rPr>
          <w:rFonts w:ascii="Times New Roman" w:hAnsi="Times New Roman" w:cs="Times New Roman"/>
          <w:szCs w:val="24"/>
        </w:rPr>
        <w:t>period</w:t>
      </w:r>
      <w:r w:rsidR="004739BF" w:rsidRPr="00600AFD">
        <w:rPr>
          <w:rFonts w:ascii="Times New Roman" w:hAnsi="Times New Roman" w:cs="Times New Roman"/>
          <w:szCs w:val="24"/>
        </w:rPr>
        <w:t xml:space="preserve">, it is necessary </w:t>
      </w:r>
      <w:r w:rsidR="001D5FF9" w:rsidRPr="00600AFD">
        <w:rPr>
          <w:rFonts w:ascii="Times New Roman" w:hAnsi="Times New Roman" w:cs="Times New Roman"/>
          <w:szCs w:val="24"/>
        </w:rPr>
        <w:t xml:space="preserve">that the judicial bodies </w:t>
      </w:r>
      <w:r w:rsidR="00553B25" w:rsidRPr="00600AFD">
        <w:rPr>
          <w:rFonts w:ascii="Times New Roman" w:hAnsi="Times New Roman" w:cs="Times New Roman"/>
          <w:szCs w:val="24"/>
        </w:rPr>
        <w:t xml:space="preserve">continue to </w:t>
      </w:r>
      <w:r w:rsidR="00F4127E" w:rsidRPr="00600AFD">
        <w:rPr>
          <w:rFonts w:ascii="Times New Roman" w:hAnsi="Times New Roman" w:cs="Times New Roman"/>
          <w:szCs w:val="24"/>
        </w:rPr>
        <w:t xml:space="preserve">advance </w:t>
      </w:r>
      <w:r w:rsidR="006204C4" w:rsidRPr="00600AFD">
        <w:rPr>
          <w:rFonts w:ascii="Times New Roman" w:hAnsi="Times New Roman" w:cs="Times New Roman"/>
          <w:szCs w:val="24"/>
        </w:rPr>
        <w:t xml:space="preserve">the manner in which the results achieved </w:t>
      </w:r>
      <w:r w:rsidR="00015B97" w:rsidRPr="00600AFD">
        <w:rPr>
          <w:rFonts w:ascii="Times New Roman" w:hAnsi="Times New Roman" w:cs="Times New Roman"/>
          <w:szCs w:val="24"/>
        </w:rPr>
        <w:t xml:space="preserve">in the work of courts and prosecutors’ offices </w:t>
      </w:r>
      <w:r w:rsidR="001A31E3" w:rsidRPr="00600AFD">
        <w:rPr>
          <w:rFonts w:ascii="Times New Roman" w:hAnsi="Times New Roman" w:cs="Times New Roman"/>
          <w:szCs w:val="24"/>
        </w:rPr>
        <w:t xml:space="preserve">are presented </w:t>
      </w:r>
      <w:r w:rsidR="00AB3E56" w:rsidRPr="00600AFD">
        <w:rPr>
          <w:rFonts w:ascii="Times New Roman" w:hAnsi="Times New Roman" w:cs="Times New Roman"/>
          <w:szCs w:val="24"/>
        </w:rPr>
        <w:t xml:space="preserve">through reports, press releases and </w:t>
      </w:r>
      <w:r w:rsidR="00315B39" w:rsidRPr="00600AFD">
        <w:rPr>
          <w:rFonts w:ascii="Times New Roman" w:hAnsi="Times New Roman" w:cs="Times New Roman"/>
          <w:szCs w:val="24"/>
        </w:rPr>
        <w:t xml:space="preserve">press </w:t>
      </w:r>
      <w:r w:rsidR="00575C28" w:rsidRPr="00600AFD">
        <w:rPr>
          <w:rFonts w:ascii="Times New Roman" w:hAnsi="Times New Roman" w:cs="Times New Roman"/>
          <w:szCs w:val="24"/>
        </w:rPr>
        <w:t>conferences</w:t>
      </w:r>
      <w:r w:rsidR="002A2665" w:rsidRPr="00600AFD">
        <w:rPr>
          <w:rFonts w:ascii="Times New Roman" w:hAnsi="Times New Roman" w:cs="Times New Roman"/>
          <w:szCs w:val="24"/>
        </w:rPr>
        <w:t xml:space="preserve"> </w:t>
      </w:r>
      <w:r w:rsidR="00BF1FC7" w:rsidRPr="00600AFD">
        <w:rPr>
          <w:rFonts w:ascii="Times New Roman" w:hAnsi="Times New Roman" w:cs="Times New Roman"/>
          <w:szCs w:val="24"/>
        </w:rPr>
        <w:t>the</w:t>
      </w:r>
      <w:r w:rsidR="002A2665" w:rsidRPr="00600AFD">
        <w:rPr>
          <w:rFonts w:ascii="Times New Roman" w:hAnsi="Times New Roman" w:cs="Times New Roman"/>
          <w:szCs w:val="24"/>
        </w:rPr>
        <w:t xml:space="preserve"> content </w:t>
      </w:r>
      <w:r w:rsidR="004F7005" w:rsidRPr="00600AFD">
        <w:rPr>
          <w:rFonts w:ascii="Times New Roman" w:hAnsi="Times New Roman" w:cs="Times New Roman"/>
          <w:szCs w:val="24"/>
        </w:rPr>
        <w:t xml:space="preserve">and </w:t>
      </w:r>
      <w:r w:rsidR="004E10D9" w:rsidRPr="00600AFD">
        <w:rPr>
          <w:rFonts w:ascii="Times New Roman" w:hAnsi="Times New Roman" w:cs="Times New Roman"/>
          <w:szCs w:val="24"/>
        </w:rPr>
        <w:t xml:space="preserve">form of </w:t>
      </w:r>
      <w:r w:rsidR="00BF1FC7" w:rsidRPr="00600AFD">
        <w:rPr>
          <w:rFonts w:ascii="Times New Roman" w:hAnsi="Times New Roman" w:cs="Times New Roman"/>
          <w:szCs w:val="24"/>
        </w:rPr>
        <w:t>which</w:t>
      </w:r>
      <w:r w:rsidR="004E10D9" w:rsidRPr="00600AFD">
        <w:rPr>
          <w:rFonts w:ascii="Times New Roman" w:hAnsi="Times New Roman" w:cs="Times New Roman"/>
          <w:szCs w:val="24"/>
        </w:rPr>
        <w:t xml:space="preserve"> </w:t>
      </w:r>
      <w:r w:rsidR="001D2C53" w:rsidRPr="00600AFD">
        <w:rPr>
          <w:rFonts w:ascii="Times New Roman" w:hAnsi="Times New Roman" w:cs="Times New Roman"/>
          <w:szCs w:val="24"/>
        </w:rPr>
        <w:t xml:space="preserve">shall be </w:t>
      </w:r>
      <w:r w:rsidR="002040EF" w:rsidRPr="00600AFD">
        <w:rPr>
          <w:rFonts w:ascii="Times New Roman" w:hAnsi="Times New Roman" w:cs="Times New Roman"/>
          <w:szCs w:val="24"/>
        </w:rPr>
        <w:t xml:space="preserve">adapted </w:t>
      </w:r>
      <w:r w:rsidR="00915D10" w:rsidRPr="00600AFD">
        <w:rPr>
          <w:rFonts w:ascii="Times New Roman" w:hAnsi="Times New Roman" w:cs="Times New Roman"/>
          <w:szCs w:val="24"/>
        </w:rPr>
        <w:t xml:space="preserve">to both expert </w:t>
      </w:r>
      <w:r w:rsidR="00321BD2" w:rsidRPr="00600AFD">
        <w:rPr>
          <w:rFonts w:ascii="Times New Roman" w:hAnsi="Times New Roman" w:cs="Times New Roman"/>
          <w:szCs w:val="24"/>
        </w:rPr>
        <w:t xml:space="preserve">public </w:t>
      </w:r>
      <w:r w:rsidR="008F7CD2" w:rsidRPr="00600AFD">
        <w:rPr>
          <w:rFonts w:ascii="Times New Roman" w:hAnsi="Times New Roman" w:cs="Times New Roman"/>
          <w:szCs w:val="24"/>
        </w:rPr>
        <w:t xml:space="preserve">and the media and citizens. </w:t>
      </w:r>
      <w:r w:rsidR="0051167E" w:rsidRPr="00600AFD">
        <w:rPr>
          <w:rFonts w:ascii="Times New Roman" w:hAnsi="Times New Roman" w:cs="Times New Roman"/>
          <w:szCs w:val="24"/>
        </w:rPr>
        <w:t xml:space="preserve">By carrying out these activities, </w:t>
      </w:r>
      <w:r w:rsidR="00991951" w:rsidRPr="00600AFD">
        <w:rPr>
          <w:rFonts w:ascii="Times New Roman" w:hAnsi="Times New Roman" w:cs="Times New Roman"/>
          <w:szCs w:val="24"/>
        </w:rPr>
        <w:t xml:space="preserve">capacities of individuals tasked </w:t>
      </w:r>
      <w:r w:rsidR="0063126D" w:rsidRPr="00600AFD">
        <w:rPr>
          <w:rFonts w:ascii="Times New Roman" w:hAnsi="Times New Roman" w:cs="Times New Roman"/>
          <w:szCs w:val="24"/>
        </w:rPr>
        <w:t xml:space="preserve">with public relations </w:t>
      </w:r>
      <w:r w:rsidR="00BF1FC7" w:rsidRPr="00600AFD">
        <w:rPr>
          <w:rFonts w:ascii="Times New Roman" w:hAnsi="Times New Roman" w:cs="Times New Roman"/>
          <w:szCs w:val="24"/>
        </w:rPr>
        <w:t>for</w:t>
      </w:r>
      <w:r w:rsidR="007F2DF7" w:rsidRPr="00600AFD">
        <w:rPr>
          <w:rFonts w:ascii="Times New Roman" w:hAnsi="Times New Roman" w:cs="Times New Roman"/>
          <w:szCs w:val="24"/>
        </w:rPr>
        <w:t xml:space="preserve"> judicial bodies </w:t>
      </w:r>
      <w:r w:rsidR="00615C8B" w:rsidRPr="00600AFD">
        <w:rPr>
          <w:rFonts w:ascii="Times New Roman" w:hAnsi="Times New Roman" w:cs="Times New Roman"/>
          <w:szCs w:val="24"/>
        </w:rPr>
        <w:t>will be further strengthened</w:t>
      </w:r>
      <w:r w:rsidR="006F7C44" w:rsidRPr="00600AFD">
        <w:rPr>
          <w:rFonts w:ascii="Times New Roman" w:hAnsi="Times New Roman" w:cs="Times New Roman"/>
          <w:szCs w:val="24"/>
        </w:rPr>
        <w:t xml:space="preserve">, along with </w:t>
      </w:r>
      <w:r w:rsidR="00C332F5" w:rsidRPr="00600AFD">
        <w:rPr>
          <w:rFonts w:ascii="Times New Roman" w:hAnsi="Times New Roman" w:cs="Times New Roman"/>
          <w:szCs w:val="24"/>
        </w:rPr>
        <w:t xml:space="preserve">simultaneous strengthening of </w:t>
      </w:r>
      <w:r w:rsidR="009E0BF2" w:rsidRPr="00600AFD">
        <w:rPr>
          <w:rFonts w:ascii="Times New Roman" w:hAnsi="Times New Roman" w:cs="Times New Roman"/>
          <w:szCs w:val="24"/>
        </w:rPr>
        <w:t xml:space="preserve">an open and proactive communication with the media. It is necessary that the </w:t>
      </w:r>
      <w:r w:rsidR="00192B3B" w:rsidRPr="00600AFD">
        <w:rPr>
          <w:rFonts w:ascii="Times New Roman" w:hAnsi="Times New Roman" w:cs="Times New Roman"/>
          <w:szCs w:val="24"/>
        </w:rPr>
        <w:t xml:space="preserve">High </w:t>
      </w:r>
      <w:r w:rsidR="00BF1FC7" w:rsidRPr="00600AFD">
        <w:rPr>
          <w:rFonts w:ascii="Times New Roman" w:hAnsi="Times New Roman" w:cs="Times New Roman"/>
          <w:szCs w:val="24"/>
        </w:rPr>
        <w:t>Court</w:t>
      </w:r>
      <w:r w:rsidR="00192B3B" w:rsidRPr="00600AFD">
        <w:rPr>
          <w:rFonts w:ascii="Times New Roman" w:hAnsi="Times New Roman" w:cs="Times New Roman"/>
          <w:szCs w:val="24"/>
        </w:rPr>
        <w:t xml:space="preserve"> Council</w:t>
      </w:r>
      <w:r w:rsidR="004A78FB" w:rsidRPr="00600AFD">
        <w:rPr>
          <w:rFonts w:ascii="Times New Roman" w:hAnsi="Times New Roman" w:cs="Times New Roman"/>
          <w:szCs w:val="24"/>
        </w:rPr>
        <w:t xml:space="preserve"> </w:t>
      </w:r>
      <w:r w:rsidR="009E0BF2" w:rsidRPr="00600AFD">
        <w:rPr>
          <w:rFonts w:ascii="Times New Roman" w:hAnsi="Times New Roman" w:cs="Times New Roman"/>
          <w:szCs w:val="24"/>
        </w:rPr>
        <w:t xml:space="preserve">and the </w:t>
      </w:r>
      <w:r w:rsidR="00ED7D46" w:rsidRPr="00600AFD">
        <w:rPr>
          <w:rFonts w:ascii="Times New Roman" w:hAnsi="Times New Roman" w:cs="Times New Roman"/>
          <w:szCs w:val="24"/>
        </w:rPr>
        <w:t>State Prosecutorial Council</w:t>
      </w:r>
      <w:r w:rsidR="00070A76" w:rsidRPr="00600AFD">
        <w:rPr>
          <w:rFonts w:ascii="Times New Roman" w:hAnsi="Times New Roman" w:cs="Times New Roman"/>
          <w:szCs w:val="24"/>
        </w:rPr>
        <w:t xml:space="preserve"> </w:t>
      </w:r>
      <w:r w:rsidR="009E0BF2" w:rsidRPr="00600AFD">
        <w:rPr>
          <w:rFonts w:ascii="Times New Roman" w:hAnsi="Times New Roman" w:cs="Times New Roman"/>
          <w:szCs w:val="24"/>
        </w:rPr>
        <w:t xml:space="preserve">continue </w:t>
      </w:r>
      <w:r w:rsidR="00EC1EAA" w:rsidRPr="00600AFD">
        <w:rPr>
          <w:rFonts w:ascii="Times New Roman" w:hAnsi="Times New Roman" w:cs="Times New Roman"/>
          <w:szCs w:val="24"/>
        </w:rPr>
        <w:t xml:space="preserve">advancing </w:t>
      </w:r>
      <w:r w:rsidR="001C23F9" w:rsidRPr="00600AFD">
        <w:rPr>
          <w:rFonts w:ascii="Times New Roman" w:hAnsi="Times New Roman" w:cs="Times New Roman"/>
          <w:szCs w:val="24"/>
        </w:rPr>
        <w:t xml:space="preserve">the </w:t>
      </w:r>
      <w:r w:rsidR="00EF7AE6" w:rsidRPr="00600AFD">
        <w:rPr>
          <w:rFonts w:ascii="Times New Roman" w:hAnsi="Times New Roman" w:cs="Times New Roman"/>
          <w:szCs w:val="24"/>
        </w:rPr>
        <w:t xml:space="preserve">practice </w:t>
      </w:r>
      <w:r w:rsidR="00325549" w:rsidRPr="00600AFD">
        <w:rPr>
          <w:rFonts w:ascii="Times New Roman" w:hAnsi="Times New Roman" w:cs="Times New Roman"/>
          <w:szCs w:val="24"/>
        </w:rPr>
        <w:t xml:space="preserve">of publishing </w:t>
      </w:r>
      <w:r w:rsidR="001C23F9" w:rsidRPr="00600AFD">
        <w:rPr>
          <w:rFonts w:ascii="Times New Roman" w:hAnsi="Times New Roman" w:cs="Times New Roman"/>
          <w:szCs w:val="24"/>
        </w:rPr>
        <w:t xml:space="preserve">their decisions and other relevant information </w:t>
      </w:r>
      <w:r w:rsidR="003D5FB8" w:rsidRPr="00600AFD">
        <w:rPr>
          <w:rFonts w:ascii="Times New Roman" w:hAnsi="Times New Roman" w:cs="Times New Roman"/>
          <w:szCs w:val="24"/>
        </w:rPr>
        <w:t xml:space="preserve">on the work of these institutions. </w:t>
      </w:r>
    </w:p>
    <w:p w14:paraId="3EB87EDE" w14:textId="3D259083" w:rsidR="00E54890" w:rsidRPr="00600AFD" w:rsidRDefault="003D5FB8" w:rsidP="00E54890">
      <w:pPr>
        <w:spacing w:line="276" w:lineRule="auto"/>
        <w:rPr>
          <w:rFonts w:ascii="Times New Roman" w:hAnsi="Times New Roman" w:cs="Times New Roman"/>
          <w:szCs w:val="24"/>
        </w:rPr>
      </w:pPr>
      <w:r w:rsidRPr="00600AFD">
        <w:rPr>
          <w:rFonts w:ascii="Times New Roman" w:hAnsi="Times New Roman" w:cs="Times New Roman"/>
          <w:szCs w:val="24"/>
        </w:rPr>
        <w:t xml:space="preserve">Efforts should also be focused on </w:t>
      </w:r>
      <w:r w:rsidR="00E05677" w:rsidRPr="00600AFD">
        <w:rPr>
          <w:rFonts w:ascii="Times New Roman" w:hAnsi="Times New Roman" w:cs="Times New Roman"/>
          <w:szCs w:val="24"/>
        </w:rPr>
        <w:t xml:space="preserve">upgrading </w:t>
      </w:r>
      <w:r w:rsidR="00142306" w:rsidRPr="00600AFD">
        <w:rPr>
          <w:rFonts w:ascii="Times New Roman" w:hAnsi="Times New Roman" w:cs="Times New Roman"/>
          <w:szCs w:val="24"/>
        </w:rPr>
        <w:t>e</w:t>
      </w:r>
      <w:r w:rsidR="000F3999">
        <w:rPr>
          <w:rFonts w:ascii="Times New Roman" w:hAnsi="Times New Roman" w:cs="Times New Roman"/>
          <w:szCs w:val="24"/>
        </w:rPr>
        <w:t>–</w:t>
      </w:r>
      <w:r w:rsidR="00142306" w:rsidRPr="00600AFD">
        <w:rPr>
          <w:rFonts w:ascii="Times New Roman" w:hAnsi="Times New Roman" w:cs="Times New Roman"/>
          <w:szCs w:val="24"/>
        </w:rPr>
        <w:t xml:space="preserve">service for citizens </w:t>
      </w:r>
      <w:r w:rsidR="00A113B3" w:rsidRPr="00600AFD">
        <w:rPr>
          <w:rFonts w:ascii="Times New Roman" w:hAnsi="Times New Roman" w:cs="Times New Roman"/>
          <w:szCs w:val="24"/>
        </w:rPr>
        <w:t xml:space="preserve">whereby </w:t>
      </w:r>
      <w:r w:rsidR="00D96D26" w:rsidRPr="00600AFD">
        <w:rPr>
          <w:rFonts w:ascii="Times New Roman" w:hAnsi="Times New Roman" w:cs="Times New Roman"/>
          <w:szCs w:val="24"/>
        </w:rPr>
        <w:t>the range of available information on judicial proceedings</w:t>
      </w:r>
      <w:r w:rsidR="00DC26C5" w:rsidRPr="00600AFD">
        <w:rPr>
          <w:rFonts w:ascii="Times New Roman" w:hAnsi="Times New Roman" w:cs="Times New Roman"/>
          <w:szCs w:val="24"/>
        </w:rPr>
        <w:t xml:space="preserve"> and efficiency of the judiciary </w:t>
      </w:r>
      <w:r w:rsidR="00D216D2" w:rsidRPr="00600AFD">
        <w:rPr>
          <w:rFonts w:ascii="Times New Roman" w:hAnsi="Times New Roman" w:cs="Times New Roman"/>
          <w:szCs w:val="24"/>
        </w:rPr>
        <w:t xml:space="preserve">providing for a better access to justice </w:t>
      </w:r>
      <w:r w:rsidR="00691EC2" w:rsidRPr="00600AFD">
        <w:rPr>
          <w:rFonts w:ascii="Times New Roman" w:hAnsi="Times New Roman" w:cs="Times New Roman"/>
          <w:szCs w:val="24"/>
        </w:rPr>
        <w:t xml:space="preserve">is </w:t>
      </w:r>
      <w:r w:rsidR="00A37F61" w:rsidRPr="00600AFD">
        <w:rPr>
          <w:rFonts w:ascii="Times New Roman" w:hAnsi="Times New Roman" w:cs="Times New Roman"/>
          <w:szCs w:val="24"/>
        </w:rPr>
        <w:t xml:space="preserve">further expanded. Additional </w:t>
      </w:r>
      <w:r w:rsidR="001E0E9F" w:rsidRPr="00600AFD">
        <w:rPr>
          <w:rFonts w:ascii="Times New Roman" w:hAnsi="Times New Roman" w:cs="Times New Roman"/>
          <w:szCs w:val="24"/>
        </w:rPr>
        <w:t xml:space="preserve">enhancements </w:t>
      </w:r>
      <w:r w:rsidR="009E351C" w:rsidRPr="00600AFD">
        <w:rPr>
          <w:rFonts w:ascii="Times New Roman" w:hAnsi="Times New Roman" w:cs="Times New Roman"/>
          <w:szCs w:val="24"/>
        </w:rPr>
        <w:t xml:space="preserve">are necessary with regard </w:t>
      </w:r>
      <w:r w:rsidR="00343104" w:rsidRPr="00600AFD">
        <w:rPr>
          <w:rFonts w:ascii="Times New Roman" w:hAnsi="Times New Roman" w:cs="Times New Roman"/>
          <w:szCs w:val="24"/>
        </w:rPr>
        <w:t xml:space="preserve">to the content, scope and accessibility of information on the work of the High </w:t>
      </w:r>
      <w:r w:rsidR="00BF1FC7" w:rsidRPr="00600AFD">
        <w:rPr>
          <w:rFonts w:ascii="Times New Roman" w:hAnsi="Times New Roman" w:cs="Times New Roman"/>
          <w:szCs w:val="24"/>
        </w:rPr>
        <w:t>Court</w:t>
      </w:r>
      <w:r w:rsidR="00343104" w:rsidRPr="00600AFD">
        <w:rPr>
          <w:rFonts w:ascii="Times New Roman" w:hAnsi="Times New Roman" w:cs="Times New Roman"/>
          <w:szCs w:val="24"/>
        </w:rPr>
        <w:t xml:space="preserve"> Council</w:t>
      </w:r>
      <w:r w:rsidR="00D331F0" w:rsidRPr="00600AFD">
        <w:rPr>
          <w:rFonts w:ascii="Times New Roman" w:hAnsi="Times New Roman" w:cs="Times New Roman"/>
          <w:szCs w:val="24"/>
        </w:rPr>
        <w:t>, the State Prosecutorial Council</w:t>
      </w:r>
      <w:r w:rsidR="004778E8" w:rsidRPr="00600AFD">
        <w:rPr>
          <w:rFonts w:ascii="Times New Roman" w:hAnsi="Times New Roman" w:cs="Times New Roman"/>
          <w:szCs w:val="24"/>
        </w:rPr>
        <w:t xml:space="preserve">, </w:t>
      </w:r>
      <w:r w:rsidR="00E66A10" w:rsidRPr="00600AFD">
        <w:rPr>
          <w:rFonts w:ascii="Times New Roman" w:hAnsi="Times New Roman" w:cs="Times New Roman"/>
          <w:szCs w:val="24"/>
        </w:rPr>
        <w:t xml:space="preserve">the Judicial Academy, </w:t>
      </w:r>
      <w:r w:rsidR="004778E8" w:rsidRPr="00600AFD">
        <w:rPr>
          <w:rFonts w:ascii="Times New Roman" w:hAnsi="Times New Roman" w:cs="Times New Roman"/>
          <w:szCs w:val="24"/>
        </w:rPr>
        <w:t xml:space="preserve">courts and prosecutors’ offices, as well as </w:t>
      </w:r>
      <w:r w:rsidR="003E71FE" w:rsidRPr="00600AFD">
        <w:rPr>
          <w:rFonts w:ascii="Times New Roman" w:hAnsi="Times New Roman" w:cs="Times New Roman"/>
          <w:szCs w:val="24"/>
        </w:rPr>
        <w:t xml:space="preserve">of </w:t>
      </w:r>
      <w:r w:rsidR="004778E8" w:rsidRPr="00600AFD">
        <w:rPr>
          <w:rFonts w:ascii="Times New Roman" w:hAnsi="Times New Roman" w:cs="Times New Roman"/>
          <w:szCs w:val="24"/>
        </w:rPr>
        <w:t xml:space="preserve">the implementation of national and other </w:t>
      </w:r>
      <w:r w:rsidR="009E40E4" w:rsidRPr="00600AFD">
        <w:rPr>
          <w:rFonts w:ascii="Times New Roman" w:hAnsi="Times New Roman" w:cs="Times New Roman"/>
          <w:szCs w:val="24"/>
        </w:rPr>
        <w:t xml:space="preserve">strategic documents of importance for the functioning </w:t>
      </w:r>
      <w:r w:rsidR="0084087B" w:rsidRPr="00600AFD">
        <w:rPr>
          <w:rFonts w:ascii="Times New Roman" w:hAnsi="Times New Roman" w:cs="Times New Roman"/>
          <w:szCs w:val="24"/>
        </w:rPr>
        <w:t xml:space="preserve">and reform of the judiciary. </w:t>
      </w:r>
      <w:r w:rsidR="00FB7B33" w:rsidRPr="00600AFD">
        <w:rPr>
          <w:rFonts w:ascii="Times New Roman" w:hAnsi="Times New Roman" w:cs="Times New Roman"/>
          <w:szCs w:val="24"/>
        </w:rPr>
        <w:t xml:space="preserve">Aside from </w:t>
      </w:r>
      <w:r w:rsidR="0084087B" w:rsidRPr="00600AFD">
        <w:rPr>
          <w:rFonts w:ascii="Times New Roman" w:hAnsi="Times New Roman" w:cs="Times New Roman"/>
          <w:szCs w:val="24"/>
        </w:rPr>
        <w:t xml:space="preserve">the measures stipulated in </w:t>
      </w:r>
      <w:r w:rsidR="000F3999">
        <w:rPr>
          <w:rFonts w:ascii="Times New Roman" w:hAnsi="Times New Roman" w:cs="Times New Roman"/>
          <w:szCs w:val="24"/>
        </w:rPr>
        <w:t>2020–2025</w:t>
      </w:r>
      <w:r w:rsidR="0084087B" w:rsidRPr="00600AFD">
        <w:rPr>
          <w:rFonts w:ascii="Times New Roman" w:hAnsi="Times New Roman" w:cs="Times New Roman"/>
          <w:szCs w:val="24"/>
        </w:rPr>
        <w:t xml:space="preserve"> </w:t>
      </w:r>
      <w:r w:rsidR="0063654C" w:rsidRPr="00600AFD">
        <w:rPr>
          <w:rFonts w:ascii="Times New Roman" w:hAnsi="Times New Roman" w:cs="Times New Roman"/>
          <w:szCs w:val="24"/>
        </w:rPr>
        <w:t>DJS</w:t>
      </w:r>
      <w:r w:rsidR="00F741EB" w:rsidRPr="00600AFD">
        <w:rPr>
          <w:rFonts w:ascii="Times New Roman" w:hAnsi="Times New Roman" w:cs="Times New Roman"/>
          <w:szCs w:val="24"/>
        </w:rPr>
        <w:t xml:space="preserve">, it is </w:t>
      </w:r>
      <w:r w:rsidR="00FB7B33" w:rsidRPr="00600AFD">
        <w:rPr>
          <w:rFonts w:ascii="Times New Roman" w:hAnsi="Times New Roman" w:cs="Times New Roman"/>
          <w:szCs w:val="24"/>
        </w:rPr>
        <w:t xml:space="preserve">also </w:t>
      </w:r>
      <w:r w:rsidR="00F741EB" w:rsidRPr="00600AFD">
        <w:rPr>
          <w:rFonts w:ascii="Times New Roman" w:hAnsi="Times New Roman" w:cs="Times New Roman"/>
          <w:szCs w:val="24"/>
        </w:rPr>
        <w:t xml:space="preserve">necessary to ensure continuous support </w:t>
      </w:r>
      <w:r w:rsidR="00DB31B4" w:rsidRPr="00600AFD">
        <w:rPr>
          <w:rFonts w:ascii="Times New Roman" w:hAnsi="Times New Roman" w:cs="Times New Roman"/>
          <w:szCs w:val="24"/>
        </w:rPr>
        <w:t xml:space="preserve">for the full implementation of objectives </w:t>
      </w:r>
      <w:r w:rsidR="00CB6EE9" w:rsidRPr="00600AFD">
        <w:rPr>
          <w:rFonts w:ascii="Times New Roman" w:hAnsi="Times New Roman" w:cs="Times New Roman"/>
          <w:szCs w:val="24"/>
        </w:rPr>
        <w:t xml:space="preserve">envisaged in the communication strategies of the High </w:t>
      </w:r>
      <w:r w:rsidR="00BF1FC7" w:rsidRPr="00600AFD">
        <w:rPr>
          <w:rFonts w:ascii="Times New Roman" w:hAnsi="Times New Roman" w:cs="Times New Roman"/>
          <w:szCs w:val="24"/>
        </w:rPr>
        <w:t>Court</w:t>
      </w:r>
      <w:r w:rsidR="00CB6EE9" w:rsidRPr="00600AFD">
        <w:rPr>
          <w:rFonts w:ascii="Times New Roman" w:hAnsi="Times New Roman" w:cs="Times New Roman"/>
          <w:szCs w:val="24"/>
        </w:rPr>
        <w:t xml:space="preserve"> Council and the State Prosecutorial Council. </w:t>
      </w:r>
    </w:p>
    <w:p w14:paraId="46E7E683" w14:textId="77777777" w:rsidR="0003663E" w:rsidRPr="00600AFD" w:rsidRDefault="00644D10" w:rsidP="000A4E98">
      <w:pPr>
        <w:spacing w:after="240" w:line="276" w:lineRule="auto"/>
        <w:rPr>
          <w:rFonts w:ascii="Times New Roman" w:hAnsi="Times New Roman" w:cs="Times New Roman"/>
          <w:szCs w:val="24"/>
        </w:rPr>
      </w:pPr>
      <w:r w:rsidRPr="00600AFD">
        <w:rPr>
          <w:rFonts w:ascii="Times New Roman" w:hAnsi="Times New Roman" w:cs="Times New Roman"/>
          <w:szCs w:val="24"/>
        </w:rPr>
        <w:t xml:space="preserve">In order to achieve </w:t>
      </w:r>
      <w:r w:rsidR="008F183F" w:rsidRPr="00600AFD">
        <w:rPr>
          <w:rFonts w:ascii="Times New Roman" w:hAnsi="Times New Roman" w:cs="Times New Roman"/>
          <w:szCs w:val="24"/>
        </w:rPr>
        <w:t xml:space="preserve">the </w:t>
      </w:r>
      <w:r w:rsidR="00255EFD" w:rsidRPr="00600AFD">
        <w:rPr>
          <w:rFonts w:ascii="Times New Roman" w:hAnsi="Times New Roman" w:cs="Times New Roman"/>
          <w:szCs w:val="24"/>
        </w:rPr>
        <w:t xml:space="preserve">specific </w:t>
      </w:r>
      <w:r w:rsidR="008F183F" w:rsidRPr="00600AFD">
        <w:rPr>
          <w:rFonts w:ascii="Times New Roman" w:hAnsi="Times New Roman" w:cs="Times New Roman"/>
          <w:szCs w:val="24"/>
        </w:rPr>
        <w:t xml:space="preserve">objective </w:t>
      </w:r>
      <w:r w:rsidR="00255EFD" w:rsidRPr="00600AFD">
        <w:rPr>
          <w:rFonts w:ascii="Times New Roman" w:hAnsi="Times New Roman" w:cs="Times New Roman"/>
          <w:szCs w:val="24"/>
        </w:rPr>
        <w:t xml:space="preserve">7, </w:t>
      </w:r>
      <w:r w:rsidR="008F183F" w:rsidRPr="00600AFD">
        <w:rPr>
          <w:rFonts w:ascii="Times New Roman" w:hAnsi="Times New Roman" w:cs="Times New Roman"/>
          <w:szCs w:val="24"/>
        </w:rPr>
        <w:t xml:space="preserve">reflected in </w:t>
      </w:r>
      <w:r w:rsidR="008F183F" w:rsidRPr="00600AFD">
        <w:rPr>
          <w:rFonts w:ascii="Times New Roman" w:hAnsi="Times New Roman" w:cs="Times New Roman"/>
          <w:i/>
          <w:szCs w:val="24"/>
        </w:rPr>
        <w:t>f</w:t>
      </w:r>
      <w:r w:rsidR="008F7987" w:rsidRPr="00600AFD">
        <w:rPr>
          <w:rFonts w:ascii="Times New Roman" w:hAnsi="Times New Roman" w:cs="Times New Roman"/>
          <w:i/>
          <w:szCs w:val="24"/>
        </w:rPr>
        <w:t xml:space="preserve">urther advancement of accessibility of judicial institutions, qualitative and quantitative data on </w:t>
      </w:r>
      <w:r w:rsidR="006C2854" w:rsidRPr="00600AFD">
        <w:rPr>
          <w:rFonts w:ascii="Times New Roman" w:hAnsi="Times New Roman" w:cs="Times New Roman"/>
          <w:i/>
          <w:szCs w:val="24"/>
        </w:rPr>
        <w:t>the work of judicial bodies</w:t>
      </w:r>
      <w:r w:rsidR="00587BA8" w:rsidRPr="00600AFD">
        <w:rPr>
          <w:rFonts w:ascii="Times New Roman" w:hAnsi="Times New Roman" w:cs="Times New Roman"/>
          <w:i/>
          <w:szCs w:val="24"/>
        </w:rPr>
        <w:t xml:space="preserve"> both </w:t>
      </w:r>
      <w:r w:rsidR="00157F43" w:rsidRPr="00600AFD">
        <w:rPr>
          <w:rFonts w:ascii="Times New Roman" w:hAnsi="Times New Roman" w:cs="Times New Roman"/>
          <w:i/>
          <w:szCs w:val="24"/>
        </w:rPr>
        <w:t>on</w:t>
      </w:r>
      <w:r w:rsidR="00587BA8" w:rsidRPr="00600AFD">
        <w:rPr>
          <w:rFonts w:ascii="Times New Roman" w:hAnsi="Times New Roman" w:cs="Times New Roman"/>
          <w:i/>
          <w:szCs w:val="24"/>
        </w:rPr>
        <w:t xml:space="preserve"> specific cases and at the level of the entire judiciary, as well as information on planning and implementation of </w:t>
      </w:r>
      <w:r w:rsidR="00157F43" w:rsidRPr="00600AFD">
        <w:rPr>
          <w:rFonts w:ascii="Times New Roman" w:hAnsi="Times New Roman" w:cs="Times New Roman"/>
          <w:i/>
          <w:szCs w:val="24"/>
        </w:rPr>
        <w:t xml:space="preserve">the judicial reform, </w:t>
      </w:r>
      <w:r w:rsidR="00C6532C" w:rsidRPr="00600AFD">
        <w:rPr>
          <w:rFonts w:ascii="Times New Roman" w:hAnsi="Times New Roman" w:cs="Times New Roman"/>
          <w:szCs w:val="24"/>
        </w:rPr>
        <w:t xml:space="preserve">it is necessary to implement the following measures: </w:t>
      </w:r>
    </w:p>
    <w:tbl>
      <w:tblPr>
        <w:tblStyle w:val="TableGrid"/>
        <w:tblW w:w="0" w:type="auto"/>
        <w:tblLook w:val="04A0" w:firstRow="1" w:lastRow="0" w:firstColumn="1" w:lastColumn="0" w:noHBand="0" w:noVBand="1"/>
      </w:tblPr>
      <w:tblGrid>
        <w:gridCol w:w="625"/>
        <w:gridCol w:w="900"/>
        <w:gridCol w:w="7825"/>
      </w:tblGrid>
      <w:tr w:rsidR="000A4E98" w:rsidRPr="00600AFD" w14:paraId="6B49CF84" w14:textId="77777777" w:rsidTr="0061475C">
        <w:tc>
          <w:tcPr>
            <w:tcW w:w="625" w:type="dxa"/>
            <w:shd w:val="clear" w:color="auto" w:fill="D9E2F3" w:themeFill="accent1" w:themeFillTint="33"/>
          </w:tcPr>
          <w:p w14:paraId="4982FD97" w14:textId="77777777" w:rsidR="000A4E98" w:rsidRPr="00600AFD" w:rsidRDefault="000A4E98" w:rsidP="0061475C">
            <w:pPr>
              <w:spacing w:after="120" w:line="276" w:lineRule="auto"/>
              <w:rPr>
                <w:rFonts w:ascii="Times New Roman" w:hAnsi="Times New Roman" w:cs="Times New Roman"/>
                <w:szCs w:val="24"/>
              </w:rPr>
            </w:pPr>
            <w:r w:rsidRPr="00600AFD">
              <w:rPr>
                <w:rFonts w:ascii="Times New Roman" w:hAnsi="Times New Roman" w:cs="Times New Roman"/>
                <w:szCs w:val="24"/>
              </w:rPr>
              <w:t>1.</w:t>
            </w:r>
          </w:p>
        </w:tc>
        <w:tc>
          <w:tcPr>
            <w:tcW w:w="8725" w:type="dxa"/>
            <w:gridSpan w:val="2"/>
          </w:tcPr>
          <w:p w14:paraId="41476711" w14:textId="5AE19F4B" w:rsidR="000A4E98" w:rsidRPr="00600AFD" w:rsidRDefault="00C6532C" w:rsidP="0061475C">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Continuous </w:t>
            </w:r>
            <w:r w:rsidR="00D2308E" w:rsidRPr="00600AFD">
              <w:rPr>
                <w:rFonts w:ascii="Times New Roman" w:hAnsi="Times New Roman" w:cs="Times New Roman"/>
                <w:szCs w:val="24"/>
              </w:rPr>
              <w:t>advancement of the normative framework and e</w:t>
            </w:r>
            <w:r w:rsidR="000F3999">
              <w:rPr>
                <w:rFonts w:ascii="Times New Roman" w:hAnsi="Times New Roman" w:cs="Times New Roman"/>
                <w:szCs w:val="24"/>
              </w:rPr>
              <w:t>–</w:t>
            </w:r>
            <w:r w:rsidR="00D2308E" w:rsidRPr="00600AFD">
              <w:rPr>
                <w:rFonts w:ascii="Times New Roman" w:hAnsi="Times New Roman" w:cs="Times New Roman"/>
                <w:szCs w:val="24"/>
              </w:rPr>
              <w:t xml:space="preserve">infrastructure required for efficient collection, processing and publication of statistical data on the work of judiciary in the manner which provides for a timely and full </w:t>
            </w:r>
            <w:r w:rsidR="00B90E3A" w:rsidRPr="00600AFD">
              <w:rPr>
                <w:rFonts w:ascii="Times New Roman" w:hAnsi="Times New Roman" w:cs="Times New Roman"/>
                <w:szCs w:val="24"/>
              </w:rPr>
              <w:t>dissemination of information to expert and general public</w:t>
            </w:r>
            <w:r w:rsidR="000A4E98" w:rsidRPr="00600AFD">
              <w:rPr>
                <w:rFonts w:ascii="Times New Roman" w:hAnsi="Times New Roman" w:cs="Times New Roman"/>
                <w:szCs w:val="24"/>
              </w:rPr>
              <w:t>;</w:t>
            </w:r>
          </w:p>
        </w:tc>
      </w:tr>
      <w:tr w:rsidR="000A4E98" w:rsidRPr="00600AFD" w14:paraId="4E44EC5D" w14:textId="77777777" w:rsidTr="0061475C">
        <w:tc>
          <w:tcPr>
            <w:tcW w:w="625" w:type="dxa"/>
            <w:shd w:val="clear" w:color="auto" w:fill="D9E2F3" w:themeFill="accent1" w:themeFillTint="33"/>
          </w:tcPr>
          <w:p w14:paraId="09AADAB7" w14:textId="77777777" w:rsidR="000A4E98" w:rsidRPr="00600AFD" w:rsidRDefault="000A4E98" w:rsidP="0061475C">
            <w:pPr>
              <w:spacing w:after="120" w:line="276" w:lineRule="auto"/>
              <w:rPr>
                <w:rFonts w:ascii="Times New Roman" w:hAnsi="Times New Roman" w:cs="Times New Roman"/>
                <w:szCs w:val="24"/>
              </w:rPr>
            </w:pPr>
            <w:r w:rsidRPr="00600AFD">
              <w:rPr>
                <w:rFonts w:ascii="Times New Roman" w:hAnsi="Times New Roman" w:cs="Times New Roman"/>
                <w:szCs w:val="24"/>
              </w:rPr>
              <w:t>2.</w:t>
            </w:r>
          </w:p>
        </w:tc>
        <w:tc>
          <w:tcPr>
            <w:tcW w:w="8725" w:type="dxa"/>
            <w:gridSpan w:val="2"/>
          </w:tcPr>
          <w:p w14:paraId="7A955759" w14:textId="16E29739" w:rsidR="000A4E98" w:rsidRPr="00600AFD" w:rsidRDefault="00B90E3A" w:rsidP="0061475C">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Continuous advancement of </w:t>
            </w:r>
            <w:r w:rsidR="000A4E98" w:rsidRPr="00600AFD">
              <w:rPr>
                <w:rFonts w:ascii="Times New Roman" w:hAnsi="Times New Roman" w:cs="Times New Roman"/>
                <w:szCs w:val="24"/>
              </w:rPr>
              <w:t>е</w:t>
            </w:r>
            <w:r w:rsidR="000F3999">
              <w:rPr>
                <w:rFonts w:ascii="Times New Roman" w:hAnsi="Times New Roman" w:cs="Times New Roman"/>
                <w:szCs w:val="24"/>
              </w:rPr>
              <w:t>–</w:t>
            </w:r>
            <w:r w:rsidRPr="00600AFD">
              <w:rPr>
                <w:rFonts w:ascii="Times New Roman" w:hAnsi="Times New Roman" w:cs="Times New Roman"/>
                <w:szCs w:val="24"/>
              </w:rPr>
              <w:t xml:space="preserve">service and </w:t>
            </w:r>
            <w:r w:rsidR="00B2204E" w:rsidRPr="00600AFD">
              <w:rPr>
                <w:rFonts w:ascii="Times New Roman" w:hAnsi="Times New Roman" w:cs="Times New Roman"/>
                <w:szCs w:val="24"/>
              </w:rPr>
              <w:t xml:space="preserve">expansion of options related to the monitoring of case proceedings and availability of other information on the work of judiciary; </w:t>
            </w:r>
          </w:p>
        </w:tc>
      </w:tr>
      <w:tr w:rsidR="00C83B4A" w:rsidRPr="00600AFD" w14:paraId="331F3111" w14:textId="77777777" w:rsidTr="0061475C">
        <w:tc>
          <w:tcPr>
            <w:tcW w:w="625" w:type="dxa"/>
            <w:vMerge w:val="restart"/>
            <w:shd w:val="clear" w:color="auto" w:fill="D9E2F3" w:themeFill="accent1" w:themeFillTint="33"/>
          </w:tcPr>
          <w:p w14:paraId="452C8F84" w14:textId="77777777" w:rsidR="00C83B4A" w:rsidRPr="00600AFD" w:rsidRDefault="00C83B4A" w:rsidP="0061475C">
            <w:pPr>
              <w:spacing w:after="120" w:line="276" w:lineRule="auto"/>
              <w:rPr>
                <w:rFonts w:ascii="Times New Roman" w:hAnsi="Times New Roman" w:cs="Times New Roman"/>
                <w:szCs w:val="24"/>
              </w:rPr>
            </w:pPr>
            <w:r w:rsidRPr="00600AFD">
              <w:rPr>
                <w:rFonts w:ascii="Times New Roman" w:hAnsi="Times New Roman" w:cs="Times New Roman"/>
                <w:szCs w:val="24"/>
              </w:rPr>
              <w:t>3.</w:t>
            </w:r>
          </w:p>
        </w:tc>
        <w:tc>
          <w:tcPr>
            <w:tcW w:w="8725" w:type="dxa"/>
            <w:gridSpan w:val="2"/>
          </w:tcPr>
          <w:p w14:paraId="598A8BB9" w14:textId="29A98D53" w:rsidR="00C83B4A" w:rsidRPr="00600AFD" w:rsidRDefault="00B2204E" w:rsidP="00BF1FC7">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Consistent implementation of communication strategies of the High </w:t>
            </w:r>
            <w:r w:rsidR="00BF1FC7" w:rsidRPr="00600AFD">
              <w:rPr>
                <w:rFonts w:ascii="Times New Roman" w:hAnsi="Times New Roman" w:cs="Times New Roman"/>
                <w:szCs w:val="24"/>
              </w:rPr>
              <w:t>Court</w:t>
            </w:r>
            <w:r w:rsidRPr="00600AFD">
              <w:rPr>
                <w:rFonts w:ascii="Times New Roman" w:hAnsi="Times New Roman" w:cs="Times New Roman"/>
                <w:szCs w:val="24"/>
              </w:rPr>
              <w:t xml:space="preserve"> Council and the State Prosecutorial </w:t>
            </w:r>
            <w:r w:rsidR="00D40B45" w:rsidRPr="00600AFD">
              <w:rPr>
                <w:rFonts w:ascii="Times New Roman" w:hAnsi="Times New Roman" w:cs="Times New Roman"/>
                <w:szCs w:val="24"/>
              </w:rPr>
              <w:t>Council and other institutions participating in the implementation of the judicial reform:</w:t>
            </w:r>
          </w:p>
        </w:tc>
      </w:tr>
      <w:tr w:rsidR="00C83B4A" w:rsidRPr="00600AFD" w14:paraId="7C912968" w14:textId="77777777" w:rsidTr="00AD6A35">
        <w:tc>
          <w:tcPr>
            <w:tcW w:w="625" w:type="dxa"/>
            <w:vMerge/>
            <w:shd w:val="clear" w:color="auto" w:fill="D9E2F3" w:themeFill="accent1" w:themeFillTint="33"/>
          </w:tcPr>
          <w:p w14:paraId="4EAA327D" w14:textId="77777777" w:rsidR="00C83B4A" w:rsidRPr="00600AFD" w:rsidRDefault="00C83B4A" w:rsidP="0061475C">
            <w:pPr>
              <w:spacing w:after="120" w:line="276" w:lineRule="auto"/>
              <w:rPr>
                <w:rFonts w:ascii="Times New Roman" w:hAnsi="Times New Roman" w:cs="Times New Roman"/>
                <w:szCs w:val="24"/>
              </w:rPr>
            </w:pPr>
          </w:p>
        </w:tc>
        <w:tc>
          <w:tcPr>
            <w:tcW w:w="900" w:type="dxa"/>
          </w:tcPr>
          <w:p w14:paraId="725FD307" w14:textId="77777777" w:rsidR="00C83B4A" w:rsidRPr="00600AFD" w:rsidDel="00C83B4A" w:rsidRDefault="00C83B4A" w:rsidP="0061475C">
            <w:pPr>
              <w:spacing w:after="120" w:line="276" w:lineRule="auto"/>
              <w:rPr>
                <w:rFonts w:ascii="Times New Roman" w:hAnsi="Times New Roman" w:cs="Times New Roman"/>
                <w:szCs w:val="24"/>
              </w:rPr>
            </w:pPr>
            <w:r w:rsidRPr="00600AFD">
              <w:rPr>
                <w:rFonts w:ascii="Times New Roman" w:hAnsi="Times New Roman" w:cs="Times New Roman"/>
                <w:szCs w:val="24"/>
              </w:rPr>
              <w:t>3.1</w:t>
            </w:r>
          </w:p>
        </w:tc>
        <w:tc>
          <w:tcPr>
            <w:tcW w:w="7825" w:type="dxa"/>
          </w:tcPr>
          <w:p w14:paraId="612FA9C7" w14:textId="51C21C38" w:rsidR="00C83B4A" w:rsidRPr="00600AFD" w:rsidDel="00C83B4A" w:rsidRDefault="00D40B45" w:rsidP="00BF1FC7">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Building functional and sustainable communication systems in the </w:t>
            </w:r>
            <w:r w:rsidR="00B33BB0" w:rsidRPr="00600AFD">
              <w:rPr>
                <w:rFonts w:ascii="Times New Roman" w:hAnsi="Times New Roman" w:cs="Times New Roman"/>
                <w:szCs w:val="24"/>
              </w:rPr>
              <w:t xml:space="preserve">High </w:t>
            </w:r>
            <w:r w:rsidR="00BF1FC7" w:rsidRPr="00600AFD">
              <w:rPr>
                <w:rFonts w:ascii="Times New Roman" w:hAnsi="Times New Roman" w:cs="Times New Roman"/>
                <w:szCs w:val="24"/>
              </w:rPr>
              <w:t>Court</w:t>
            </w:r>
            <w:r w:rsidR="00B33BB0" w:rsidRPr="00600AFD">
              <w:rPr>
                <w:rFonts w:ascii="Times New Roman" w:hAnsi="Times New Roman" w:cs="Times New Roman"/>
                <w:szCs w:val="24"/>
              </w:rPr>
              <w:t xml:space="preserve"> Council and all courts</w:t>
            </w:r>
            <w:r w:rsidR="00C83B4A" w:rsidRPr="00600AFD">
              <w:rPr>
                <w:rFonts w:ascii="Times New Roman" w:hAnsi="Times New Roman" w:cs="Times New Roman"/>
                <w:szCs w:val="24"/>
              </w:rPr>
              <w:t xml:space="preserve">, </w:t>
            </w:r>
            <w:r w:rsidR="00B33BB0" w:rsidRPr="00600AFD">
              <w:rPr>
                <w:rFonts w:ascii="Times New Roman" w:hAnsi="Times New Roman" w:cs="Times New Roman"/>
                <w:szCs w:val="24"/>
              </w:rPr>
              <w:t xml:space="preserve">the State Prosecutorial Council and all prosecutors’ offices, </w:t>
            </w:r>
            <w:r w:rsidR="00477449" w:rsidRPr="00600AFD">
              <w:rPr>
                <w:rFonts w:ascii="Times New Roman" w:hAnsi="Times New Roman" w:cs="Times New Roman"/>
                <w:szCs w:val="24"/>
              </w:rPr>
              <w:t xml:space="preserve">which </w:t>
            </w:r>
            <w:r w:rsidR="00F40D25" w:rsidRPr="00600AFD">
              <w:rPr>
                <w:rFonts w:ascii="Times New Roman" w:hAnsi="Times New Roman" w:cs="Times New Roman"/>
                <w:szCs w:val="24"/>
              </w:rPr>
              <w:t>can respond</w:t>
            </w:r>
            <w:r w:rsidR="00477449" w:rsidRPr="00600AFD">
              <w:rPr>
                <w:rFonts w:ascii="Times New Roman" w:hAnsi="Times New Roman" w:cs="Times New Roman"/>
                <w:szCs w:val="24"/>
              </w:rPr>
              <w:t xml:space="preserve"> to public requests, as well as implementation of </w:t>
            </w:r>
            <w:r w:rsidR="006E261B" w:rsidRPr="00600AFD">
              <w:rPr>
                <w:rFonts w:ascii="Times New Roman" w:hAnsi="Times New Roman" w:cs="Times New Roman"/>
                <w:szCs w:val="24"/>
              </w:rPr>
              <w:t>planned and proactive communication with the media</w:t>
            </w:r>
            <w:r w:rsidR="00C83B4A" w:rsidRPr="00600AFD">
              <w:rPr>
                <w:rFonts w:ascii="Times New Roman" w:hAnsi="Times New Roman" w:cs="Times New Roman"/>
                <w:szCs w:val="24"/>
              </w:rPr>
              <w:t>;</w:t>
            </w:r>
          </w:p>
        </w:tc>
      </w:tr>
      <w:tr w:rsidR="00C83B4A" w:rsidRPr="00600AFD" w14:paraId="560560CA" w14:textId="77777777" w:rsidTr="00AD6A35">
        <w:tc>
          <w:tcPr>
            <w:tcW w:w="625" w:type="dxa"/>
            <w:vMerge/>
            <w:shd w:val="clear" w:color="auto" w:fill="D9E2F3" w:themeFill="accent1" w:themeFillTint="33"/>
          </w:tcPr>
          <w:p w14:paraId="67EE6D1F" w14:textId="77777777" w:rsidR="00C83B4A" w:rsidRPr="00600AFD" w:rsidRDefault="00C83B4A" w:rsidP="0061475C">
            <w:pPr>
              <w:spacing w:after="120" w:line="276" w:lineRule="auto"/>
              <w:rPr>
                <w:rFonts w:ascii="Times New Roman" w:hAnsi="Times New Roman" w:cs="Times New Roman"/>
                <w:szCs w:val="24"/>
              </w:rPr>
            </w:pPr>
          </w:p>
        </w:tc>
        <w:tc>
          <w:tcPr>
            <w:tcW w:w="900" w:type="dxa"/>
          </w:tcPr>
          <w:p w14:paraId="40DD1F4B" w14:textId="77777777" w:rsidR="00C83B4A" w:rsidRPr="00600AFD" w:rsidDel="00C83B4A" w:rsidRDefault="00C83B4A" w:rsidP="0061475C">
            <w:pPr>
              <w:spacing w:after="120" w:line="276" w:lineRule="auto"/>
              <w:rPr>
                <w:rFonts w:ascii="Times New Roman" w:hAnsi="Times New Roman" w:cs="Times New Roman"/>
                <w:szCs w:val="24"/>
              </w:rPr>
            </w:pPr>
            <w:r w:rsidRPr="00600AFD">
              <w:rPr>
                <w:rFonts w:ascii="Times New Roman" w:hAnsi="Times New Roman" w:cs="Times New Roman"/>
                <w:szCs w:val="24"/>
              </w:rPr>
              <w:t>3.2</w:t>
            </w:r>
          </w:p>
        </w:tc>
        <w:tc>
          <w:tcPr>
            <w:tcW w:w="7825" w:type="dxa"/>
          </w:tcPr>
          <w:p w14:paraId="7E0662B3" w14:textId="61D28B84" w:rsidR="00C83B4A" w:rsidRPr="00600AFD" w:rsidDel="00C83B4A" w:rsidRDefault="006E261B" w:rsidP="001A41BB">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Publication of </w:t>
            </w:r>
            <w:r w:rsidR="001A41BB" w:rsidRPr="00600AFD">
              <w:rPr>
                <w:rFonts w:ascii="Times New Roman" w:hAnsi="Times New Roman" w:cs="Times New Roman"/>
                <w:szCs w:val="24"/>
              </w:rPr>
              <w:t xml:space="preserve">fully reasoned </w:t>
            </w:r>
            <w:r w:rsidR="00E43BCF" w:rsidRPr="00600AFD">
              <w:rPr>
                <w:rFonts w:ascii="Times New Roman" w:hAnsi="Times New Roman" w:cs="Times New Roman"/>
                <w:szCs w:val="24"/>
              </w:rPr>
              <w:t>decisions and o</w:t>
            </w:r>
            <w:r w:rsidR="00BF1FC7" w:rsidRPr="00600AFD">
              <w:rPr>
                <w:rFonts w:ascii="Times New Roman" w:hAnsi="Times New Roman" w:cs="Times New Roman"/>
                <w:szCs w:val="24"/>
              </w:rPr>
              <w:t>th</w:t>
            </w:r>
            <w:r w:rsidR="00E43BCF" w:rsidRPr="00600AFD">
              <w:rPr>
                <w:rFonts w:ascii="Times New Roman" w:hAnsi="Times New Roman" w:cs="Times New Roman"/>
                <w:szCs w:val="24"/>
              </w:rPr>
              <w:t xml:space="preserve">er relevant information on the work of the High </w:t>
            </w:r>
            <w:r w:rsidR="001A41BB" w:rsidRPr="00600AFD">
              <w:rPr>
                <w:rFonts w:ascii="Times New Roman" w:hAnsi="Times New Roman" w:cs="Times New Roman"/>
                <w:szCs w:val="24"/>
              </w:rPr>
              <w:t>Court</w:t>
            </w:r>
            <w:r w:rsidR="00E43BCF" w:rsidRPr="00600AFD">
              <w:rPr>
                <w:rFonts w:ascii="Times New Roman" w:hAnsi="Times New Roman" w:cs="Times New Roman"/>
                <w:szCs w:val="24"/>
              </w:rPr>
              <w:t xml:space="preserve"> Council and the State Prosecutorial Council </w:t>
            </w:r>
            <w:r w:rsidR="00757F80" w:rsidRPr="00600AFD">
              <w:rPr>
                <w:rFonts w:ascii="Times New Roman" w:hAnsi="Times New Roman" w:cs="Times New Roman"/>
                <w:szCs w:val="24"/>
              </w:rPr>
              <w:t>on the web pages of these bodies, in accordance with the relevant legal provisions</w:t>
            </w:r>
            <w:r w:rsidR="00C83B4A" w:rsidRPr="00600AFD">
              <w:rPr>
                <w:rFonts w:ascii="Times New Roman" w:hAnsi="Times New Roman" w:cs="Times New Roman"/>
                <w:szCs w:val="24"/>
              </w:rPr>
              <w:t>;</w:t>
            </w:r>
          </w:p>
        </w:tc>
      </w:tr>
      <w:tr w:rsidR="00C83B4A" w:rsidRPr="00600AFD" w14:paraId="0D95E1D2" w14:textId="77777777" w:rsidTr="00AD6A35">
        <w:tc>
          <w:tcPr>
            <w:tcW w:w="625" w:type="dxa"/>
            <w:vMerge/>
            <w:shd w:val="clear" w:color="auto" w:fill="D9E2F3" w:themeFill="accent1" w:themeFillTint="33"/>
          </w:tcPr>
          <w:p w14:paraId="275F17A6" w14:textId="77777777" w:rsidR="00C83B4A" w:rsidRPr="00600AFD" w:rsidRDefault="00C83B4A" w:rsidP="0061475C">
            <w:pPr>
              <w:spacing w:after="120" w:line="276" w:lineRule="auto"/>
              <w:rPr>
                <w:rFonts w:ascii="Times New Roman" w:hAnsi="Times New Roman" w:cs="Times New Roman"/>
                <w:szCs w:val="24"/>
              </w:rPr>
            </w:pPr>
          </w:p>
        </w:tc>
        <w:tc>
          <w:tcPr>
            <w:tcW w:w="900" w:type="dxa"/>
          </w:tcPr>
          <w:p w14:paraId="061B1539" w14:textId="77777777" w:rsidR="00C83B4A" w:rsidRPr="00600AFD" w:rsidDel="00C83B4A" w:rsidRDefault="00C83B4A" w:rsidP="0061475C">
            <w:pPr>
              <w:spacing w:after="120" w:line="276" w:lineRule="auto"/>
              <w:rPr>
                <w:rFonts w:ascii="Times New Roman" w:hAnsi="Times New Roman" w:cs="Times New Roman"/>
                <w:szCs w:val="24"/>
              </w:rPr>
            </w:pPr>
            <w:r w:rsidRPr="00600AFD">
              <w:rPr>
                <w:rFonts w:ascii="Times New Roman" w:hAnsi="Times New Roman" w:cs="Times New Roman"/>
                <w:szCs w:val="24"/>
              </w:rPr>
              <w:t>3.3</w:t>
            </w:r>
          </w:p>
        </w:tc>
        <w:tc>
          <w:tcPr>
            <w:tcW w:w="7825" w:type="dxa"/>
          </w:tcPr>
          <w:p w14:paraId="5809DDFC" w14:textId="77777777" w:rsidR="00C83B4A" w:rsidRPr="00600AFD" w:rsidDel="00C83B4A" w:rsidRDefault="00757F80" w:rsidP="001A41BB">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Continuous strengthening of capacities of individuals tasked with public relations </w:t>
            </w:r>
            <w:r w:rsidR="001A41BB" w:rsidRPr="00600AFD">
              <w:rPr>
                <w:rFonts w:ascii="Times New Roman" w:hAnsi="Times New Roman" w:cs="Times New Roman"/>
                <w:szCs w:val="24"/>
              </w:rPr>
              <w:t>in</w:t>
            </w:r>
            <w:r w:rsidRPr="00600AFD">
              <w:rPr>
                <w:rFonts w:ascii="Times New Roman" w:hAnsi="Times New Roman" w:cs="Times New Roman"/>
                <w:szCs w:val="24"/>
              </w:rPr>
              <w:t xml:space="preserve"> courts, prosecutors’ offices and other judicial institutions </w:t>
            </w:r>
            <w:r w:rsidR="00630AAF" w:rsidRPr="00600AFD">
              <w:rPr>
                <w:rFonts w:ascii="Times New Roman" w:hAnsi="Times New Roman" w:cs="Times New Roman"/>
                <w:szCs w:val="24"/>
              </w:rPr>
              <w:t xml:space="preserve">participating in the reform process, as well as further strengthening of relations with media representatives through advancement of their knowledge and understanding </w:t>
            </w:r>
            <w:r w:rsidR="001221F0" w:rsidRPr="00600AFD">
              <w:rPr>
                <w:rFonts w:ascii="Times New Roman" w:hAnsi="Times New Roman" w:cs="Times New Roman"/>
                <w:szCs w:val="24"/>
              </w:rPr>
              <w:t>of the judiciary</w:t>
            </w:r>
            <w:r w:rsidR="00C83B4A" w:rsidRPr="00600AFD">
              <w:rPr>
                <w:rFonts w:ascii="Times New Roman" w:hAnsi="Times New Roman" w:cs="Times New Roman"/>
                <w:szCs w:val="24"/>
              </w:rPr>
              <w:t>;</w:t>
            </w:r>
          </w:p>
        </w:tc>
      </w:tr>
      <w:tr w:rsidR="00C83B4A" w:rsidRPr="00600AFD" w14:paraId="38F3E904" w14:textId="77777777" w:rsidTr="00AD6A35">
        <w:tc>
          <w:tcPr>
            <w:tcW w:w="625" w:type="dxa"/>
            <w:vMerge/>
            <w:shd w:val="clear" w:color="auto" w:fill="D9E2F3" w:themeFill="accent1" w:themeFillTint="33"/>
          </w:tcPr>
          <w:p w14:paraId="4A04DD86" w14:textId="77777777" w:rsidR="00C83B4A" w:rsidRPr="00600AFD" w:rsidRDefault="00C83B4A" w:rsidP="0061475C">
            <w:pPr>
              <w:spacing w:after="120" w:line="276" w:lineRule="auto"/>
              <w:rPr>
                <w:rFonts w:ascii="Times New Roman" w:hAnsi="Times New Roman" w:cs="Times New Roman"/>
                <w:szCs w:val="24"/>
              </w:rPr>
            </w:pPr>
          </w:p>
        </w:tc>
        <w:tc>
          <w:tcPr>
            <w:tcW w:w="900" w:type="dxa"/>
          </w:tcPr>
          <w:p w14:paraId="37B34C46" w14:textId="77777777" w:rsidR="00C83B4A" w:rsidRPr="00600AFD" w:rsidDel="00C83B4A" w:rsidRDefault="00C83B4A" w:rsidP="0061475C">
            <w:pPr>
              <w:spacing w:after="120" w:line="276" w:lineRule="auto"/>
              <w:rPr>
                <w:rFonts w:ascii="Times New Roman" w:hAnsi="Times New Roman" w:cs="Times New Roman"/>
                <w:szCs w:val="24"/>
              </w:rPr>
            </w:pPr>
            <w:r w:rsidRPr="00600AFD">
              <w:rPr>
                <w:rFonts w:ascii="Times New Roman" w:hAnsi="Times New Roman" w:cs="Times New Roman"/>
                <w:szCs w:val="24"/>
              </w:rPr>
              <w:t>3.4</w:t>
            </w:r>
          </w:p>
        </w:tc>
        <w:tc>
          <w:tcPr>
            <w:tcW w:w="7825" w:type="dxa"/>
          </w:tcPr>
          <w:p w14:paraId="7481F729" w14:textId="77777777" w:rsidR="00C83B4A" w:rsidRPr="00600AFD" w:rsidDel="00C83B4A" w:rsidRDefault="001221F0" w:rsidP="0061475C">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Further </w:t>
            </w:r>
            <w:r w:rsidR="00132570" w:rsidRPr="00600AFD">
              <w:rPr>
                <w:rFonts w:ascii="Times New Roman" w:hAnsi="Times New Roman" w:cs="Times New Roman"/>
                <w:szCs w:val="24"/>
              </w:rPr>
              <w:t>e</w:t>
            </w:r>
            <w:r w:rsidR="00865918" w:rsidRPr="00600AFD">
              <w:rPr>
                <w:rFonts w:ascii="Times New Roman" w:hAnsi="Times New Roman" w:cs="Times New Roman"/>
                <w:szCs w:val="24"/>
              </w:rPr>
              <w:t xml:space="preserve">fforts to render uniform the </w:t>
            </w:r>
            <w:r w:rsidRPr="00600AFD">
              <w:rPr>
                <w:rFonts w:ascii="Times New Roman" w:hAnsi="Times New Roman" w:cs="Times New Roman"/>
                <w:szCs w:val="24"/>
              </w:rPr>
              <w:t xml:space="preserve">appearance, scope and content of information on the work of judicial institutions participating in the reform process </w:t>
            </w:r>
            <w:r w:rsidR="00132570" w:rsidRPr="00600AFD">
              <w:rPr>
                <w:rFonts w:ascii="Times New Roman" w:hAnsi="Times New Roman" w:cs="Times New Roman"/>
                <w:szCs w:val="24"/>
              </w:rPr>
              <w:t>available on official web pages</w:t>
            </w:r>
            <w:r w:rsidR="00C83B4A" w:rsidRPr="00600AFD">
              <w:rPr>
                <w:rFonts w:ascii="Times New Roman" w:hAnsi="Times New Roman" w:cs="Times New Roman"/>
                <w:szCs w:val="24"/>
              </w:rPr>
              <w:t>;</w:t>
            </w:r>
          </w:p>
        </w:tc>
      </w:tr>
      <w:tr w:rsidR="000A4E98" w:rsidRPr="00600AFD" w14:paraId="3FA54000" w14:textId="77777777" w:rsidTr="0061475C">
        <w:tc>
          <w:tcPr>
            <w:tcW w:w="625" w:type="dxa"/>
            <w:shd w:val="clear" w:color="auto" w:fill="D9E2F3" w:themeFill="accent1" w:themeFillTint="33"/>
          </w:tcPr>
          <w:p w14:paraId="003F0185" w14:textId="77777777" w:rsidR="000A4E98" w:rsidRPr="00600AFD" w:rsidRDefault="00C83B4A" w:rsidP="0061475C">
            <w:pPr>
              <w:spacing w:after="120" w:line="276" w:lineRule="auto"/>
              <w:rPr>
                <w:rFonts w:ascii="Times New Roman" w:hAnsi="Times New Roman" w:cs="Times New Roman"/>
                <w:szCs w:val="24"/>
              </w:rPr>
            </w:pPr>
            <w:r w:rsidRPr="00600AFD">
              <w:rPr>
                <w:rFonts w:ascii="Times New Roman" w:hAnsi="Times New Roman" w:cs="Times New Roman"/>
                <w:szCs w:val="24"/>
              </w:rPr>
              <w:t>4</w:t>
            </w:r>
            <w:r w:rsidR="000A4E98" w:rsidRPr="00600AFD">
              <w:rPr>
                <w:rFonts w:ascii="Times New Roman" w:hAnsi="Times New Roman" w:cs="Times New Roman"/>
                <w:szCs w:val="24"/>
              </w:rPr>
              <w:t>.</w:t>
            </w:r>
          </w:p>
        </w:tc>
        <w:tc>
          <w:tcPr>
            <w:tcW w:w="8725" w:type="dxa"/>
            <w:gridSpan w:val="2"/>
          </w:tcPr>
          <w:p w14:paraId="0C29EE3D" w14:textId="77777777" w:rsidR="000A4E98" w:rsidRPr="00600AFD" w:rsidRDefault="00865918" w:rsidP="0061475C">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Regular publication of reports on the implementation of national and internal strategic documents of importance </w:t>
            </w:r>
            <w:r w:rsidR="005C56F8" w:rsidRPr="00600AFD">
              <w:rPr>
                <w:rFonts w:ascii="Times New Roman" w:hAnsi="Times New Roman" w:cs="Times New Roman"/>
                <w:szCs w:val="24"/>
              </w:rPr>
              <w:t>for the functioning and reform of the judiciary, on the web pages of relevant entities;</w:t>
            </w:r>
          </w:p>
        </w:tc>
      </w:tr>
      <w:tr w:rsidR="000A4E98" w:rsidRPr="00600AFD" w14:paraId="292C9CB4" w14:textId="77777777" w:rsidTr="0061475C">
        <w:tc>
          <w:tcPr>
            <w:tcW w:w="625" w:type="dxa"/>
            <w:shd w:val="clear" w:color="auto" w:fill="D9E2F3" w:themeFill="accent1" w:themeFillTint="33"/>
          </w:tcPr>
          <w:p w14:paraId="41951DCD" w14:textId="77777777" w:rsidR="000A4E98" w:rsidRPr="00600AFD" w:rsidRDefault="00C83B4A" w:rsidP="0061475C">
            <w:pPr>
              <w:spacing w:after="120" w:line="276" w:lineRule="auto"/>
              <w:rPr>
                <w:rFonts w:ascii="Times New Roman" w:hAnsi="Times New Roman" w:cs="Times New Roman"/>
                <w:szCs w:val="24"/>
              </w:rPr>
            </w:pPr>
            <w:r w:rsidRPr="00600AFD">
              <w:rPr>
                <w:rFonts w:ascii="Times New Roman" w:hAnsi="Times New Roman" w:cs="Times New Roman"/>
                <w:szCs w:val="24"/>
              </w:rPr>
              <w:t>5</w:t>
            </w:r>
            <w:r w:rsidR="000A4E98" w:rsidRPr="00600AFD">
              <w:rPr>
                <w:rFonts w:ascii="Times New Roman" w:hAnsi="Times New Roman" w:cs="Times New Roman"/>
                <w:szCs w:val="24"/>
              </w:rPr>
              <w:t>.</w:t>
            </w:r>
          </w:p>
        </w:tc>
        <w:tc>
          <w:tcPr>
            <w:tcW w:w="8725" w:type="dxa"/>
            <w:gridSpan w:val="2"/>
          </w:tcPr>
          <w:p w14:paraId="10A51BEA" w14:textId="7A1B90CD" w:rsidR="000A4E98" w:rsidRPr="00600AFD" w:rsidRDefault="005C56F8" w:rsidP="0061475C">
            <w:pPr>
              <w:spacing w:after="120" w:line="276" w:lineRule="auto"/>
              <w:rPr>
                <w:rFonts w:ascii="Times New Roman" w:hAnsi="Times New Roman" w:cs="Times New Roman"/>
                <w:szCs w:val="24"/>
              </w:rPr>
            </w:pPr>
            <w:r w:rsidRPr="00600AFD">
              <w:rPr>
                <w:rFonts w:ascii="Times New Roman" w:hAnsi="Times New Roman" w:cs="Times New Roman"/>
                <w:szCs w:val="24"/>
              </w:rPr>
              <w:t xml:space="preserve">Continuous updating and advancement of the </w:t>
            </w:r>
            <w:r w:rsidR="009D2304" w:rsidRPr="00600AFD">
              <w:rPr>
                <w:rFonts w:ascii="Times New Roman" w:hAnsi="Times New Roman" w:cs="Times New Roman"/>
                <w:szCs w:val="24"/>
              </w:rPr>
              <w:t xml:space="preserve">regulations database </w:t>
            </w:r>
            <w:r w:rsidR="00CA1167" w:rsidRPr="00600AFD">
              <w:rPr>
                <w:rFonts w:ascii="Times New Roman" w:hAnsi="Times New Roman" w:cs="Times New Roman"/>
                <w:szCs w:val="24"/>
              </w:rPr>
              <w:t xml:space="preserve">of the Legal Information System of the Republic of Serbia and of the case law database </w:t>
            </w:r>
            <w:r w:rsidR="00747609" w:rsidRPr="00600AFD">
              <w:rPr>
                <w:rFonts w:ascii="Times New Roman" w:hAnsi="Times New Roman" w:cs="Times New Roman"/>
                <w:szCs w:val="24"/>
              </w:rPr>
              <w:t>in terms of the number and representativeness of decisions rendered, as well as advancement of accessibility</w:t>
            </w:r>
            <w:r w:rsidR="00761CC4" w:rsidRPr="00600AFD">
              <w:rPr>
                <w:rFonts w:ascii="Times New Roman" w:hAnsi="Times New Roman" w:cs="Times New Roman"/>
                <w:szCs w:val="24"/>
              </w:rPr>
              <w:t xml:space="preserve"> and visibility</w:t>
            </w:r>
            <w:r w:rsidR="00747609" w:rsidRPr="00600AFD">
              <w:rPr>
                <w:rFonts w:ascii="Times New Roman" w:hAnsi="Times New Roman" w:cs="Times New Roman"/>
                <w:szCs w:val="24"/>
              </w:rPr>
              <w:t xml:space="preserve"> of these databases for </w:t>
            </w:r>
            <w:r w:rsidR="006A3E74" w:rsidRPr="00600AFD">
              <w:rPr>
                <w:rFonts w:ascii="Times New Roman" w:hAnsi="Times New Roman" w:cs="Times New Roman"/>
                <w:szCs w:val="24"/>
              </w:rPr>
              <w:t xml:space="preserve">expert, scientific and general public. </w:t>
            </w:r>
          </w:p>
        </w:tc>
      </w:tr>
    </w:tbl>
    <w:p w14:paraId="2F845DD0" w14:textId="77777777" w:rsidR="00A67403" w:rsidRPr="00600AFD" w:rsidRDefault="00A67403" w:rsidP="00697175">
      <w:pPr>
        <w:spacing w:after="0" w:line="276" w:lineRule="auto"/>
        <w:rPr>
          <w:rFonts w:ascii="Times New Roman" w:hAnsi="Times New Roman" w:cs="Times New Roman"/>
          <w:szCs w:val="24"/>
        </w:rPr>
        <w:sectPr w:rsidR="00A67403" w:rsidRPr="00600AFD" w:rsidSect="008A5366">
          <w:pgSz w:w="12240" w:h="15840"/>
          <w:pgMar w:top="1440" w:right="1440" w:bottom="1440" w:left="1440" w:header="720" w:footer="720" w:gutter="0"/>
          <w:cols w:space="720"/>
          <w:docGrid w:linePitch="360"/>
        </w:sectPr>
      </w:pPr>
    </w:p>
    <w:p w14:paraId="040FC5CA" w14:textId="1AB9828B" w:rsidR="0038313B" w:rsidRPr="00600AFD" w:rsidRDefault="006129E9" w:rsidP="00F40D25">
      <w:pPr>
        <w:pStyle w:val="Heading1"/>
        <w:numPr>
          <w:ilvl w:val="0"/>
          <w:numId w:val="29"/>
        </w:numPr>
        <w:rPr>
          <w:rFonts w:ascii="Times New Roman" w:hAnsi="Times New Roman"/>
          <w:sz w:val="24"/>
        </w:rPr>
      </w:pPr>
      <w:bookmarkStart w:id="15" w:name="_Toc39707755"/>
      <w:r w:rsidRPr="00600AFD">
        <w:rPr>
          <w:rFonts w:ascii="Times New Roman" w:hAnsi="Times New Roman"/>
          <w:sz w:val="24"/>
        </w:rPr>
        <w:lastRenderedPageBreak/>
        <w:t>M</w:t>
      </w:r>
      <w:r w:rsidR="00B93694" w:rsidRPr="00600AFD">
        <w:rPr>
          <w:rFonts w:ascii="Times New Roman" w:hAnsi="Times New Roman"/>
          <w:sz w:val="24"/>
        </w:rPr>
        <w:t xml:space="preserve">ECHANISM FOR IMPLEMENTATION OF THE STRATEGY </w:t>
      </w:r>
      <w:r w:rsidR="006B18A9" w:rsidRPr="00600AFD">
        <w:rPr>
          <w:rFonts w:ascii="Times New Roman" w:hAnsi="Times New Roman"/>
          <w:sz w:val="24"/>
        </w:rPr>
        <w:t xml:space="preserve">AND THE METHOD OF REPORTING ON </w:t>
      </w:r>
      <w:r w:rsidR="00483067" w:rsidRPr="00600AFD">
        <w:rPr>
          <w:rFonts w:ascii="Times New Roman" w:hAnsi="Times New Roman"/>
          <w:sz w:val="24"/>
        </w:rPr>
        <w:t>IMPLEMENTATION</w:t>
      </w:r>
      <w:r w:rsidR="00350D86" w:rsidRPr="00600AFD">
        <w:rPr>
          <w:rFonts w:ascii="Times New Roman" w:hAnsi="Times New Roman"/>
          <w:sz w:val="24"/>
        </w:rPr>
        <w:t xml:space="preserve"> RESULTS</w:t>
      </w:r>
      <w:bookmarkEnd w:id="15"/>
    </w:p>
    <w:p w14:paraId="6C2385F6" w14:textId="00BF882F" w:rsidR="00A2586C" w:rsidRPr="00600AFD" w:rsidRDefault="000130D4" w:rsidP="00AE19D4">
      <w:pPr>
        <w:spacing w:line="276" w:lineRule="auto"/>
        <w:rPr>
          <w:rFonts w:ascii="Times New Roman" w:hAnsi="Times New Roman" w:cs="Times New Roman"/>
          <w:szCs w:val="24"/>
        </w:rPr>
      </w:pPr>
      <w:r w:rsidRPr="00600AFD">
        <w:rPr>
          <w:rFonts w:ascii="Times New Roman" w:hAnsi="Times New Roman" w:cs="Times New Roman"/>
          <w:szCs w:val="24"/>
        </w:rPr>
        <w:t xml:space="preserve">The process of drafting </w:t>
      </w:r>
      <w:r w:rsidR="000F3999">
        <w:rPr>
          <w:rFonts w:ascii="Times New Roman" w:hAnsi="Times New Roman" w:cs="Times New Roman"/>
          <w:szCs w:val="24"/>
        </w:rPr>
        <w:t>2020–2025</w:t>
      </w:r>
      <w:r w:rsidR="00567A1B" w:rsidRPr="00600AFD">
        <w:rPr>
          <w:rFonts w:ascii="Times New Roman" w:hAnsi="Times New Roman" w:cs="Times New Roman"/>
          <w:szCs w:val="24"/>
        </w:rPr>
        <w:t xml:space="preserve"> </w:t>
      </w:r>
      <w:r w:rsidR="0063654C" w:rsidRPr="00600AFD">
        <w:rPr>
          <w:rFonts w:ascii="Times New Roman" w:hAnsi="Times New Roman" w:cs="Times New Roman"/>
          <w:szCs w:val="24"/>
        </w:rPr>
        <w:t>DJS</w:t>
      </w:r>
      <w:r w:rsidR="00356B97" w:rsidRPr="00600AFD">
        <w:rPr>
          <w:rFonts w:ascii="Times New Roman" w:hAnsi="Times New Roman" w:cs="Times New Roman"/>
          <w:szCs w:val="24"/>
        </w:rPr>
        <w:t xml:space="preserve"> </w:t>
      </w:r>
      <w:r w:rsidRPr="00600AFD">
        <w:rPr>
          <w:rFonts w:ascii="Times New Roman" w:hAnsi="Times New Roman" w:cs="Times New Roman"/>
          <w:szCs w:val="24"/>
        </w:rPr>
        <w:t xml:space="preserve">and the process of </w:t>
      </w:r>
      <w:r w:rsidR="004E4EE0" w:rsidRPr="00600AFD">
        <w:rPr>
          <w:rFonts w:ascii="Times New Roman" w:hAnsi="Times New Roman" w:cs="Times New Roman"/>
          <w:szCs w:val="24"/>
        </w:rPr>
        <w:t xml:space="preserve">AP23 revision </w:t>
      </w:r>
      <w:r w:rsidR="008F4382" w:rsidRPr="00600AFD">
        <w:rPr>
          <w:rFonts w:ascii="Times New Roman" w:hAnsi="Times New Roman" w:cs="Times New Roman"/>
          <w:szCs w:val="24"/>
        </w:rPr>
        <w:t>have been</w:t>
      </w:r>
      <w:r w:rsidR="004E4EE0" w:rsidRPr="00600AFD">
        <w:rPr>
          <w:rFonts w:ascii="Times New Roman" w:hAnsi="Times New Roman" w:cs="Times New Roman"/>
          <w:szCs w:val="24"/>
        </w:rPr>
        <w:t xml:space="preserve"> unfolding in parallel, hence their contents have been harmonized to the largest possible </w:t>
      </w:r>
      <w:r w:rsidR="00B610A9" w:rsidRPr="00600AFD">
        <w:rPr>
          <w:rFonts w:ascii="Times New Roman" w:hAnsi="Times New Roman" w:cs="Times New Roman"/>
          <w:szCs w:val="24"/>
        </w:rPr>
        <w:t xml:space="preserve">extent, both mutually, and </w:t>
      </w:r>
      <w:r w:rsidR="00F40D25" w:rsidRPr="00600AFD">
        <w:rPr>
          <w:rFonts w:ascii="Times New Roman" w:hAnsi="Times New Roman" w:cs="Times New Roman"/>
          <w:szCs w:val="24"/>
        </w:rPr>
        <w:t>regarding</w:t>
      </w:r>
      <w:r w:rsidR="00F40D25">
        <w:rPr>
          <w:rFonts w:ascii="Times New Roman" w:hAnsi="Times New Roman" w:cs="Times New Roman"/>
          <w:szCs w:val="24"/>
        </w:rPr>
        <w:t xml:space="preserve"> the</w:t>
      </w:r>
      <w:r w:rsidR="00B610A9" w:rsidRPr="00600AFD">
        <w:rPr>
          <w:rFonts w:ascii="Times New Roman" w:hAnsi="Times New Roman" w:cs="Times New Roman"/>
          <w:szCs w:val="24"/>
        </w:rPr>
        <w:t xml:space="preserve"> content</w:t>
      </w:r>
      <w:r w:rsidR="00B712F0" w:rsidRPr="00600AFD">
        <w:rPr>
          <w:rFonts w:ascii="Times New Roman" w:hAnsi="Times New Roman" w:cs="Times New Roman"/>
          <w:szCs w:val="24"/>
        </w:rPr>
        <w:t xml:space="preserve">s of interim benchmarks </w:t>
      </w:r>
      <w:r w:rsidR="00E1700B" w:rsidRPr="00600AFD">
        <w:rPr>
          <w:rFonts w:ascii="Times New Roman" w:hAnsi="Times New Roman" w:cs="Times New Roman"/>
          <w:szCs w:val="24"/>
        </w:rPr>
        <w:t>as part of Cha</w:t>
      </w:r>
      <w:r w:rsidR="00F11F32" w:rsidRPr="00600AFD">
        <w:rPr>
          <w:rFonts w:ascii="Times New Roman" w:hAnsi="Times New Roman" w:cs="Times New Roman"/>
          <w:szCs w:val="24"/>
        </w:rPr>
        <w:t xml:space="preserve">pter 23. </w:t>
      </w:r>
      <w:r w:rsidR="003E0160" w:rsidRPr="00600AFD">
        <w:rPr>
          <w:rFonts w:ascii="Times New Roman" w:hAnsi="Times New Roman" w:cs="Times New Roman"/>
          <w:szCs w:val="24"/>
        </w:rPr>
        <w:t xml:space="preserve">Earlier dualism </w:t>
      </w:r>
      <w:r w:rsidR="004B1601" w:rsidRPr="00600AFD">
        <w:rPr>
          <w:rFonts w:ascii="Times New Roman" w:hAnsi="Times New Roman" w:cs="Times New Roman"/>
          <w:szCs w:val="24"/>
        </w:rPr>
        <w:t>of strategic documents in the field of</w:t>
      </w:r>
      <w:r w:rsidR="006A6953" w:rsidRPr="00600AFD">
        <w:rPr>
          <w:rFonts w:ascii="Times New Roman" w:hAnsi="Times New Roman" w:cs="Times New Roman"/>
          <w:szCs w:val="24"/>
        </w:rPr>
        <w:t xml:space="preserve"> the</w:t>
      </w:r>
      <w:r w:rsidR="004B1601" w:rsidRPr="00600AFD">
        <w:rPr>
          <w:rFonts w:ascii="Times New Roman" w:hAnsi="Times New Roman" w:cs="Times New Roman"/>
          <w:szCs w:val="24"/>
        </w:rPr>
        <w:t xml:space="preserve"> </w:t>
      </w:r>
      <w:r w:rsidR="00BF78A4" w:rsidRPr="00600AFD">
        <w:rPr>
          <w:rFonts w:ascii="Times New Roman" w:hAnsi="Times New Roman" w:cs="Times New Roman"/>
          <w:szCs w:val="24"/>
        </w:rPr>
        <w:t xml:space="preserve">judiciary </w:t>
      </w:r>
      <w:r w:rsidR="00C6059D" w:rsidRPr="00600AFD">
        <w:rPr>
          <w:rFonts w:ascii="Times New Roman" w:hAnsi="Times New Roman" w:cs="Times New Roman"/>
          <w:szCs w:val="24"/>
        </w:rPr>
        <w:t>h</w:t>
      </w:r>
      <w:r w:rsidR="00A21DB0" w:rsidRPr="00600AFD">
        <w:rPr>
          <w:rFonts w:ascii="Times New Roman" w:hAnsi="Times New Roman" w:cs="Times New Roman"/>
          <w:szCs w:val="24"/>
        </w:rPr>
        <w:t xml:space="preserve">as been thereby avoided, which was highlighted </w:t>
      </w:r>
      <w:r w:rsidR="00111DF9" w:rsidRPr="00600AFD">
        <w:rPr>
          <w:rFonts w:ascii="Times New Roman" w:hAnsi="Times New Roman" w:cs="Times New Roman"/>
          <w:szCs w:val="24"/>
        </w:rPr>
        <w:t>in previous analyses as a problem, while AP23, at the same time, takes over the role</w:t>
      </w:r>
      <w:r w:rsidR="00A037E5" w:rsidRPr="00600AFD">
        <w:rPr>
          <w:rFonts w:ascii="Times New Roman" w:hAnsi="Times New Roman" w:cs="Times New Roman"/>
          <w:szCs w:val="24"/>
        </w:rPr>
        <w:t xml:space="preserve"> of action plan for </w:t>
      </w:r>
      <w:r w:rsidR="00E01A37" w:rsidRPr="00600AFD">
        <w:rPr>
          <w:rFonts w:ascii="Times New Roman" w:hAnsi="Times New Roman" w:cs="Times New Roman"/>
          <w:szCs w:val="24"/>
        </w:rPr>
        <w:t xml:space="preserve">the </w:t>
      </w:r>
      <w:r w:rsidR="000F3999">
        <w:rPr>
          <w:rFonts w:ascii="Times New Roman" w:hAnsi="Times New Roman" w:cs="Times New Roman"/>
          <w:szCs w:val="24"/>
        </w:rPr>
        <w:t>2020–2025</w:t>
      </w:r>
      <w:r w:rsidR="00567A1B" w:rsidRPr="00600AFD">
        <w:rPr>
          <w:rFonts w:ascii="Times New Roman" w:hAnsi="Times New Roman" w:cs="Times New Roman"/>
          <w:szCs w:val="24"/>
        </w:rPr>
        <w:t xml:space="preserve"> </w:t>
      </w:r>
      <w:r w:rsidR="0063654C" w:rsidRPr="00600AFD">
        <w:rPr>
          <w:rFonts w:ascii="Times New Roman" w:hAnsi="Times New Roman" w:cs="Times New Roman"/>
          <w:szCs w:val="24"/>
        </w:rPr>
        <w:t>DJS</w:t>
      </w:r>
      <w:r w:rsidR="00E01A37" w:rsidRPr="00600AFD">
        <w:rPr>
          <w:rFonts w:ascii="Times New Roman" w:hAnsi="Times New Roman" w:cs="Times New Roman"/>
          <w:szCs w:val="24"/>
        </w:rPr>
        <w:t xml:space="preserve"> implementation</w:t>
      </w:r>
      <w:r w:rsidR="00D07C88" w:rsidRPr="00600AFD">
        <w:rPr>
          <w:rFonts w:ascii="Times New Roman" w:hAnsi="Times New Roman" w:cs="Times New Roman"/>
          <w:szCs w:val="24"/>
        </w:rPr>
        <w:t>.</w:t>
      </w:r>
    </w:p>
    <w:p w14:paraId="29D71552" w14:textId="7BF8052E" w:rsidR="00D07C88" w:rsidRPr="00600AFD" w:rsidRDefault="005C1D98" w:rsidP="00AE19D4">
      <w:pPr>
        <w:spacing w:line="276" w:lineRule="auto"/>
        <w:rPr>
          <w:rFonts w:ascii="Times New Roman" w:hAnsi="Times New Roman" w:cs="Times New Roman"/>
          <w:szCs w:val="24"/>
        </w:rPr>
      </w:pPr>
      <w:r w:rsidRPr="00600AFD">
        <w:rPr>
          <w:rFonts w:ascii="Times New Roman" w:hAnsi="Times New Roman" w:cs="Times New Roman"/>
          <w:szCs w:val="24"/>
        </w:rPr>
        <w:t xml:space="preserve">Such </w:t>
      </w:r>
      <w:r w:rsidR="008F4382" w:rsidRPr="00600AFD">
        <w:rPr>
          <w:rFonts w:ascii="Times New Roman" w:hAnsi="Times New Roman" w:cs="Times New Roman"/>
          <w:szCs w:val="24"/>
        </w:rPr>
        <w:t>focusing</w:t>
      </w:r>
      <w:r w:rsidR="00751BD4" w:rsidRPr="00600AFD">
        <w:rPr>
          <w:rFonts w:ascii="Times New Roman" w:hAnsi="Times New Roman" w:cs="Times New Roman"/>
          <w:szCs w:val="24"/>
        </w:rPr>
        <w:t xml:space="preserve"> and specifying </w:t>
      </w:r>
      <w:r w:rsidR="00EE5A6B" w:rsidRPr="00600AFD">
        <w:rPr>
          <w:rFonts w:ascii="Times New Roman" w:hAnsi="Times New Roman" w:cs="Times New Roman"/>
          <w:szCs w:val="24"/>
        </w:rPr>
        <w:t xml:space="preserve">of </w:t>
      </w:r>
      <w:r w:rsidR="002C715A" w:rsidRPr="00600AFD">
        <w:rPr>
          <w:rFonts w:ascii="Times New Roman" w:hAnsi="Times New Roman" w:cs="Times New Roman"/>
          <w:szCs w:val="24"/>
        </w:rPr>
        <w:t xml:space="preserve">development </w:t>
      </w:r>
      <w:r w:rsidR="00751BD4" w:rsidRPr="00600AFD">
        <w:rPr>
          <w:rFonts w:ascii="Times New Roman" w:hAnsi="Times New Roman" w:cs="Times New Roman"/>
          <w:szCs w:val="24"/>
        </w:rPr>
        <w:t xml:space="preserve">steps will </w:t>
      </w:r>
      <w:r w:rsidR="00CC4F30" w:rsidRPr="00600AFD">
        <w:rPr>
          <w:rFonts w:ascii="Times New Roman" w:hAnsi="Times New Roman" w:cs="Times New Roman"/>
          <w:szCs w:val="24"/>
        </w:rPr>
        <w:t xml:space="preserve">also </w:t>
      </w:r>
      <w:r w:rsidR="00EE5A6B" w:rsidRPr="00600AFD">
        <w:rPr>
          <w:rFonts w:ascii="Times New Roman" w:hAnsi="Times New Roman" w:cs="Times New Roman"/>
          <w:szCs w:val="24"/>
        </w:rPr>
        <w:t>significantly</w:t>
      </w:r>
      <w:r w:rsidR="00CC4F30" w:rsidRPr="00600AFD">
        <w:rPr>
          <w:rFonts w:ascii="Times New Roman" w:hAnsi="Times New Roman" w:cs="Times New Roman"/>
          <w:szCs w:val="24"/>
        </w:rPr>
        <w:t xml:space="preserve"> facilitate their contextualization </w:t>
      </w:r>
      <w:r w:rsidR="00FD725D" w:rsidRPr="00600AFD">
        <w:rPr>
          <w:rFonts w:ascii="Times New Roman" w:hAnsi="Times New Roman" w:cs="Times New Roman"/>
          <w:szCs w:val="24"/>
        </w:rPr>
        <w:t xml:space="preserve">and interconnecting </w:t>
      </w:r>
      <w:r w:rsidR="00A72AE6" w:rsidRPr="00600AFD">
        <w:rPr>
          <w:rFonts w:ascii="Times New Roman" w:hAnsi="Times New Roman" w:cs="Times New Roman"/>
          <w:szCs w:val="24"/>
        </w:rPr>
        <w:t xml:space="preserve">within the framework of the </w:t>
      </w:r>
      <w:bookmarkStart w:id="16" w:name="_Hlk39700109"/>
      <w:r w:rsidR="00A72AE6" w:rsidRPr="00600AFD">
        <w:rPr>
          <w:rFonts w:ascii="Times New Roman" w:hAnsi="Times New Roman" w:cs="Times New Roman"/>
          <w:szCs w:val="24"/>
        </w:rPr>
        <w:t>National</w:t>
      </w:r>
      <w:r w:rsidR="00146F07" w:rsidRPr="00600AFD">
        <w:rPr>
          <w:rFonts w:ascii="Times New Roman" w:hAnsi="Times New Roman" w:cs="Times New Roman"/>
          <w:szCs w:val="24"/>
        </w:rPr>
        <w:t xml:space="preserve"> Program for Adoption of the </w:t>
      </w:r>
      <w:r w:rsidR="0062785F" w:rsidRPr="00600AFD">
        <w:rPr>
          <w:rFonts w:ascii="Times New Roman" w:hAnsi="Times New Roman" w:cs="Times New Roman"/>
          <w:szCs w:val="24"/>
        </w:rPr>
        <w:t xml:space="preserve">EU </w:t>
      </w:r>
      <w:r w:rsidR="00146F07" w:rsidRPr="00600AFD">
        <w:rPr>
          <w:rFonts w:ascii="Times New Roman" w:hAnsi="Times New Roman" w:cs="Times New Roman"/>
          <w:szCs w:val="24"/>
        </w:rPr>
        <w:t>Acquis</w:t>
      </w:r>
      <w:bookmarkEnd w:id="16"/>
      <w:r w:rsidR="00C83B4A" w:rsidRPr="00600AFD">
        <w:rPr>
          <w:rStyle w:val="FootnoteReference"/>
          <w:rFonts w:ascii="Times New Roman" w:hAnsi="Times New Roman" w:cs="Times New Roman"/>
          <w:szCs w:val="24"/>
        </w:rPr>
        <w:footnoteReference w:id="41"/>
      </w:r>
      <w:r w:rsidR="00D07C88" w:rsidRPr="00600AFD">
        <w:rPr>
          <w:rFonts w:ascii="Times New Roman" w:hAnsi="Times New Roman" w:cs="Times New Roman"/>
          <w:szCs w:val="24"/>
        </w:rPr>
        <w:t xml:space="preserve">, </w:t>
      </w:r>
      <w:r w:rsidR="0062785F" w:rsidRPr="00600AFD">
        <w:rPr>
          <w:rFonts w:ascii="Times New Roman" w:hAnsi="Times New Roman" w:cs="Times New Roman"/>
          <w:szCs w:val="24"/>
        </w:rPr>
        <w:t>one of the priorities</w:t>
      </w:r>
      <w:r w:rsidR="008F4382" w:rsidRPr="00600AFD">
        <w:rPr>
          <w:rFonts w:ascii="Times New Roman" w:hAnsi="Times New Roman" w:cs="Times New Roman"/>
          <w:szCs w:val="24"/>
        </w:rPr>
        <w:t xml:space="preserve"> of which</w:t>
      </w:r>
      <w:r w:rsidR="0062785F" w:rsidRPr="00600AFD">
        <w:rPr>
          <w:rFonts w:ascii="Times New Roman" w:hAnsi="Times New Roman" w:cs="Times New Roman"/>
          <w:szCs w:val="24"/>
        </w:rPr>
        <w:t xml:space="preserve"> is “Democracy and Rule of Law”. </w:t>
      </w:r>
      <w:r w:rsidR="008A50C6" w:rsidRPr="00600AFD">
        <w:rPr>
          <w:rFonts w:ascii="Times New Roman" w:hAnsi="Times New Roman" w:cs="Times New Roman"/>
          <w:szCs w:val="24"/>
        </w:rPr>
        <w:t xml:space="preserve">Monitoring and evaluation of </w:t>
      </w:r>
      <w:r w:rsidR="00FC5C1C" w:rsidRPr="00600AFD">
        <w:rPr>
          <w:rFonts w:ascii="Times New Roman" w:hAnsi="Times New Roman" w:cs="Times New Roman"/>
          <w:szCs w:val="24"/>
        </w:rPr>
        <w:t>the implementation success</w:t>
      </w:r>
      <w:r w:rsidR="00B37FFE" w:rsidRPr="00600AFD">
        <w:rPr>
          <w:rFonts w:ascii="Times New Roman" w:hAnsi="Times New Roman" w:cs="Times New Roman"/>
          <w:szCs w:val="24"/>
        </w:rPr>
        <w:t xml:space="preserve"> in further development in the field of </w:t>
      </w:r>
      <w:r w:rsidR="006A6953" w:rsidRPr="00600AFD">
        <w:rPr>
          <w:rFonts w:ascii="Times New Roman" w:hAnsi="Times New Roman" w:cs="Times New Roman"/>
          <w:szCs w:val="24"/>
        </w:rPr>
        <w:t xml:space="preserve">the </w:t>
      </w:r>
      <w:r w:rsidR="00B37FFE" w:rsidRPr="00600AFD">
        <w:rPr>
          <w:rFonts w:ascii="Times New Roman" w:hAnsi="Times New Roman" w:cs="Times New Roman"/>
          <w:szCs w:val="24"/>
        </w:rPr>
        <w:t>judiciary</w:t>
      </w:r>
      <w:r w:rsidR="00FC5C1C" w:rsidRPr="00600AFD">
        <w:rPr>
          <w:rFonts w:ascii="Times New Roman" w:hAnsi="Times New Roman" w:cs="Times New Roman"/>
          <w:szCs w:val="24"/>
        </w:rPr>
        <w:t xml:space="preserve"> </w:t>
      </w:r>
      <w:r w:rsidR="00574A77" w:rsidRPr="00600AFD">
        <w:rPr>
          <w:rFonts w:ascii="Times New Roman" w:hAnsi="Times New Roman" w:cs="Times New Roman"/>
          <w:szCs w:val="24"/>
        </w:rPr>
        <w:t xml:space="preserve">will be thus facilitated to </w:t>
      </w:r>
      <w:r w:rsidR="004F365B" w:rsidRPr="00600AFD">
        <w:rPr>
          <w:rFonts w:ascii="Times New Roman" w:hAnsi="Times New Roman" w:cs="Times New Roman"/>
          <w:szCs w:val="24"/>
        </w:rPr>
        <w:t xml:space="preserve">a considerable </w:t>
      </w:r>
      <w:r w:rsidR="00574A77" w:rsidRPr="00600AFD">
        <w:rPr>
          <w:rFonts w:ascii="Times New Roman" w:hAnsi="Times New Roman" w:cs="Times New Roman"/>
          <w:szCs w:val="24"/>
        </w:rPr>
        <w:t xml:space="preserve">degree. Finally, </w:t>
      </w:r>
      <w:r w:rsidR="008A18B1" w:rsidRPr="00600AFD">
        <w:rPr>
          <w:rFonts w:ascii="Times New Roman" w:hAnsi="Times New Roman" w:cs="Times New Roman"/>
          <w:szCs w:val="24"/>
        </w:rPr>
        <w:t xml:space="preserve">adjustments of the </w:t>
      </w:r>
      <w:r w:rsidR="000F3999">
        <w:rPr>
          <w:rFonts w:ascii="Times New Roman" w:hAnsi="Times New Roman" w:cs="Times New Roman"/>
          <w:szCs w:val="24"/>
        </w:rPr>
        <w:t>2020–2025</w:t>
      </w:r>
      <w:r w:rsidR="008A18B1" w:rsidRPr="00600AFD">
        <w:rPr>
          <w:rFonts w:ascii="Times New Roman" w:hAnsi="Times New Roman" w:cs="Times New Roman"/>
          <w:szCs w:val="24"/>
        </w:rPr>
        <w:t xml:space="preserve"> </w:t>
      </w:r>
      <w:r w:rsidR="0063654C" w:rsidRPr="00600AFD">
        <w:rPr>
          <w:rFonts w:ascii="Times New Roman" w:hAnsi="Times New Roman" w:cs="Times New Roman"/>
          <w:szCs w:val="24"/>
        </w:rPr>
        <w:t>DJS</w:t>
      </w:r>
      <w:r w:rsidR="008A18B1" w:rsidRPr="00600AFD">
        <w:rPr>
          <w:rFonts w:ascii="Times New Roman" w:hAnsi="Times New Roman" w:cs="Times New Roman"/>
          <w:szCs w:val="24"/>
        </w:rPr>
        <w:t xml:space="preserve"> reform scope</w:t>
      </w:r>
      <w:r w:rsidR="00FF65A6" w:rsidRPr="00600AFD">
        <w:rPr>
          <w:rFonts w:ascii="Times New Roman" w:hAnsi="Times New Roman" w:cs="Times New Roman"/>
          <w:szCs w:val="24"/>
        </w:rPr>
        <w:t xml:space="preserve"> </w:t>
      </w:r>
      <w:r w:rsidR="00BC3FB2" w:rsidRPr="00600AFD">
        <w:rPr>
          <w:rFonts w:ascii="Times New Roman" w:hAnsi="Times New Roman" w:cs="Times New Roman"/>
          <w:szCs w:val="24"/>
        </w:rPr>
        <w:t xml:space="preserve">and revised AP23 facilitated </w:t>
      </w:r>
      <w:r w:rsidR="005A2F32" w:rsidRPr="00600AFD">
        <w:rPr>
          <w:rFonts w:ascii="Times New Roman" w:hAnsi="Times New Roman" w:cs="Times New Roman"/>
          <w:szCs w:val="24"/>
        </w:rPr>
        <w:t xml:space="preserve">the planning of project support to the </w:t>
      </w:r>
      <w:r w:rsidR="00BA4E4C" w:rsidRPr="00600AFD">
        <w:rPr>
          <w:rFonts w:ascii="Times New Roman" w:hAnsi="Times New Roman" w:cs="Times New Roman"/>
          <w:szCs w:val="24"/>
        </w:rPr>
        <w:t xml:space="preserve">development of </w:t>
      </w:r>
      <w:r w:rsidR="006A6953" w:rsidRPr="00600AFD">
        <w:rPr>
          <w:rFonts w:ascii="Times New Roman" w:hAnsi="Times New Roman" w:cs="Times New Roman"/>
          <w:szCs w:val="24"/>
        </w:rPr>
        <w:t xml:space="preserve">the </w:t>
      </w:r>
      <w:r w:rsidR="00BA4E4C" w:rsidRPr="00600AFD">
        <w:rPr>
          <w:rFonts w:ascii="Times New Roman" w:hAnsi="Times New Roman" w:cs="Times New Roman"/>
          <w:szCs w:val="24"/>
        </w:rPr>
        <w:t xml:space="preserve">judiciary </w:t>
      </w:r>
      <w:r w:rsidR="005A2F32" w:rsidRPr="00600AFD">
        <w:rPr>
          <w:rFonts w:ascii="Times New Roman" w:hAnsi="Times New Roman" w:cs="Times New Roman"/>
          <w:szCs w:val="24"/>
        </w:rPr>
        <w:t xml:space="preserve">and helped </w:t>
      </w:r>
      <w:bookmarkStart w:id="17" w:name="_Hlk39700329"/>
      <w:r w:rsidR="005A2F32" w:rsidRPr="00600AFD">
        <w:rPr>
          <w:rFonts w:ascii="Times New Roman" w:hAnsi="Times New Roman" w:cs="Times New Roman"/>
          <w:szCs w:val="24"/>
        </w:rPr>
        <w:t xml:space="preserve">avoid overlapping with other relevant national strategic documents. </w:t>
      </w:r>
    </w:p>
    <w:bookmarkEnd w:id="17"/>
    <w:p w14:paraId="3604D315" w14:textId="132CF27B" w:rsidR="00F52699" w:rsidRPr="00600AFD" w:rsidRDefault="00687E5A" w:rsidP="001D7692">
      <w:pPr>
        <w:spacing w:line="276" w:lineRule="auto"/>
        <w:rPr>
          <w:rFonts w:ascii="Times New Roman" w:hAnsi="Times New Roman" w:cs="Times New Roman"/>
          <w:szCs w:val="24"/>
        </w:rPr>
      </w:pPr>
      <w:r w:rsidRPr="00600AFD">
        <w:rPr>
          <w:rFonts w:ascii="Times New Roman" w:hAnsi="Times New Roman" w:cs="Times New Roman"/>
          <w:szCs w:val="24"/>
        </w:rPr>
        <w:t xml:space="preserve">For the reasons specified above, the </w:t>
      </w:r>
      <w:r w:rsidR="000F3999">
        <w:rPr>
          <w:rFonts w:ascii="Times New Roman" w:hAnsi="Times New Roman" w:cs="Times New Roman"/>
          <w:szCs w:val="24"/>
        </w:rPr>
        <w:t>2020–2025</w:t>
      </w:r>
      <w:r w:rsidR="00567A1B" w:rsidRPr="00600AFD">
        <w:rPr>
          <w:rFonts w:ascii="Times New Roman" w:hAnsi="Times New Roman" w:cs="Times New Roman"/>
          <w:szCs w:val="24"/>
        </w:rPr>
        <w:t xml:space="preserve"> </w:t>
      </w:r>
      <w:r w:rsidR="0063654C" w:rsidRPr="00600AFD">
        <w:rPr>
          <w:rFonts w:ascii="Times New Roman" w:hAnsi="Times New Roman" w:cs="Times New Roman"/>
          <w:szCs w:val="24"/>
        </w:rPr>
        <w:t>DJS</w:t>
      </w:r>
      <w:r w:rsidRPr="00600AFD">
        <w:rPr>
          <w:rFonts w:ascii="Times New Roman" w:hAnsi="Times New Roman" w:cs="Times New Roman"/>
          <w:szCs w:val="24"/>
        </w:rPr>
        <w:t xml:space="preserve"> implementation shall </w:t>
      </w:r>
      <w:r w:rsidR="00DE3D24" w:rsidRPr="00600AFD">
        <w:rPr>
          <w:rFonts w:ascii="Times New Roman" w:hAnsi="Times New Roman" w:cs="Times New Roman"/>
          <w:szCs w:val="24"/>
        </w:rPr>
        <w:t>be under the competence of the body in charge of monitoring AP23 implementation</w:t>
      </w:r>
      <w:r w:rsidR="00F86ABF" w:rsidRPr="00600AFD">
        <w:rPr>
          <w:rFonts w:ascii="Times New Roman" w:hAnsi="Times New Roman" w:cs="Times New Roman"/>
          <w:szCs w:val="24"/>
        </w:rPr>
        <w:t xml:space="preserve"> </w:t>
      </w:r>
      <w:r w:rsidR="00BB6DD2" w:rsidRPr="00600AFD">
        <w:rPr>
          <w:rFonts w:ascii="Times New Roman" w:hAnsi="Times New Roman" w:cs="Times New Roman"/>
          <w:szCs w:val="24"/>
        </w:rPr>
        <w:t xml:space="preserve">and in accordance with </w:t>
      </w:r>
      <w:r w:rsidR="00843FBA" w:rsidRPr="00600AFD">
        <w:rPr>
          <w:rFonts w:ascii="Times New Roman" w:hAnsi="Times New Roman" w:cs="Times New Roman"/>
          <w:szCs w:val="24"/>
        </w:rPr>
        <w:t>the methodology stipulated in that strategic document</w:t>
      </w:r>
      <w:r w:rsidR="00945E81" w:rsidRPr="00600AFD">
        <w:rPr>
          <w:rFonts w:ascii="Times New Roman" w:hAnsi="Times New Roman" w:cs="Times New Roman"/>
          <w:szCs w:val="24"/>
        </w:rPr>
        <w:t xml:space="preserve">, </w:t>
      </w:r>
      <w:r w:rsidR="00F52699" w:rsidRPr="00600AFD">
        <w:rPr>
          <w:rFonts w:ascii="Times New Roman" w:hAnsi="Times New Roman" w:cs="Times New Roman"/>
          <w:szCs w:val="24"/>
        </w:rPr>
        <w:t xml:space="preserve">as well as </w:t>
      </w:r>
      <w:r w:rsidR="00945E81" w:rsidRPr="00600AFD">
        <w:rPr>
          <w:rFonts w:ascii="Times New Roman" w:hAnsi="Times New Roman" w:cs="Times New Roman"/>
          <w:szCs w:val="24"/>
        </w:rPr>
        <w:t xml:space="preserve">fully in accordance with the standards defined in Law on Planning System in the Republic of Serbia, which </w:t>
      </w:r>
      <w:r w:rsidR="00D726B4" w:rsidRPr="00600AFD">
        <w:rPr>
          <w:rFonts w:ascii="Times New Roman" w:hAnsi="Times New Roman" w:cs="Times New Roman"/>
          <w:szCs w:val="24"/>
        </w:rPr>
        <w:t xml:space="preserve">stipulated </w:t>
      </w:r>
      <w:r w:rsidR="00CD4EB6" w:rsidRPr="00600AFD">
        <w:rPr>
          <w:rFonts w:ascii="Times New Roman" w:hAnsi="Times New Roman" w:cs="Times New Roman"/>
          <w:szCs w:val="24"/>
        </w:rPr>
        <w:t xml:space="preserve">that not later than </w:t>
      </w:r>
      <w:r w:rsidR="00C90444" w:rsidRPr="00600AFD">
        <w:rPr>
          <w:rFonts w:ascii="Times New Roman" w:hAnsi="Times New Roman" w:cs="Times New Roman"/>
          <w:szCs w:val="24"/>
        </w:rPr>
        <w:t>120 days after the end of every third year from the day of adoption</w:t>
      </w:r>
      <w:r w:rsidR="00A26A97" w:rsidRPr="00600AFD">
        <w:rPr>
          <w:rFonts w:ascii="Times New Roman" w:hAnsi="Times New Roman" w:cs="Times New Roman"/>
          <w:szCs w:val="24"/>
        </w:rPr>
        <w:t xml:space="preserve">, </w:t>
      </w:r>
      <w:r w:rsidR="00D726B4" w:rsidRPr="00600AFD">
        <w:rPr>
          <w:rFonts w:ascii="Times New Roman" w:hAnsi="Times New Roman" w:cs="Times New Roman"/>
          <w:i/>
          <w:iCs/>
          <w:szCs w:val="24"/>
        </w:rPr>
        <w:t>ex</w:t>
      </w:r>
      <w:r w:rsidR="000F3999">
        <w:rPr>
          <w:rFonts w:ascii="Times New Roman" w:hAnsi="Times New Roman" w:cs="Times New Roman"/>
          <w:i/>
          <w:iCs/>
          <w:szCs w:val="24"/>
        </w:rPr>
        <w:t>–</w:t>
      </w:r>
      <w:r w:rsidR="00D726B4" w:rsidRPr="00600AFD">
        <w:rPr>
          <w:rFonts w:ascii="Times New Roman" w:hAnsi="Times New Roman" w:cs="Times New Roman"/>
          <w:i/>
          <w:iCs/>
          <w:szCs w:val="24"/>
        </w:rPr>
        <w:t>post</w:t>
      </w:r>
      <w:r w:rsidR="00D726B4" w:rsidRPr="00600AFD">
        <w:rPr>
          <w:rFonts w:ascii="Times New Roman" w:hAnsi="Times New Roman" w:cs="Times New Roman"/>
          <w:szCs w:val="24"/>
        </w:rPr>
        <w:t xml:space="preserve"> Strategy effect analyses </w:t>
      </w:r>
      <w:r w:rsidR="00A26A97" w:rsidRPr="00600AFD">
        <w:rPr>
          <w:rFonts w:ascii="Times New Roman" w:hAnsi="Times New Roman" w:cs="Times New Roman"/>
          <w:szCs w:val="24"/>
        </w:rPr>
        <w:t>will be conducted, together with</w:t>
      </w:r>
      <w:r w:rsidR="00F52699" w:rsidRPr="00600AFD">
        <w:rPr>
          <w:rFonts w:ascii="Times New Roman" w:hAnsi="Times New Roman" w:cs="Times New Roman"/>
          <w:szCs w:val="24"/>
        </w:rPr>
        <w:t xml:space="preserve"> the</w:t>
      </w:r>
      <w:r w:rsidR="00A26A97" w:rsidRPr="00600AFD">
        <w:rPr>
          <w:rFonts w:ascii="Times New Roman" w:hAnsi="Times New Roman" w:cs="Times New Roman"/>
          <w:szCs w:val="24"/>
        </w:rPr>
        <w:t xml:space="preserve"> final report that should be submitted </w:t>
      </w:r>
      <w:r w:rsidR="00266D6A" w:rsidRPr="00600AFD">
        <w:rPr>
          <w:rFonts w:ascii="Times New Roman" w:hAnsi="Times New Roman" w:cs="Times New Roman"/>
          <w:szCs w:val="24"/>
        </w:rPr>
        <w:t xml:space="preserve">not later than six months after the period of implementation of the Strategy. </w:t>
      </w:r>
    </w:p>
    <w:p w14:paraId="3B59B472" w14:textId="5409C010" w:rsidR="007E1EB6" w:rsidRPr="00600AFD" w:rsidRDefault="002E7EDE" w:rsidP="001D7692">
      <w:pPr>
        <w:spacing w:line="276" w:lineRule="auto"/>
        <w:rPr>
          <w:rFonts w:ascii="Times New Roman" w:hAnsi="Times New Roman" w:cs="Times New Roman"/>
          <w:szCs w:val="24"/>
        </w:rPr>
      </w:pPr>
      <w:r w:rsidRPr="00600AFD">
        <w:rPr>
          <w:rFonts w:ascii="Times New Roman" w:hAnsi="Times New Roman" w:cs="Times New Roman"/>
          <w:szCs w:val="24"/>
        </w:rPr>
        <w:t xml:space="preserve">When it comes to a </w:t>
      </w:r>
      <w:r w:rsidR="00F807FD" w:rsidRPr="00600AFD">
        <w:rPr>
          <w:rFonts w:ascii="Times New Roman" w:hAnsi="Times New Roman" w:cs="Times New Roman"/>
          <w:szCs w:val="24"/>
        </w:rPr>
        <w:t>certain</w:t>
      </w:r>
      <w:r w:rsidRPr="00600AFD">
        <w:rPr>
          <w:rFonts w:ascii="Times New Roman" w:hAnsi="Times New Roman" w:cs="Times New Roman"/>
          <w:szCs w:val="24"/>
        </w:rPr>
        <w:t xml:space="preserve"> number of measures contained in the Strategy, the implementation of which has already begun and which are not part of the AP23, reporting will be carried out on the basis of the text of the Strategy</w:t>
      </w:r>
      <w:r w:rsidR="001D7692" w:rsidRPr="00600AFD">
        <w:rPr>
          <w:rFonts w:ascii="Times New Roman" w:hAnsi="Times New Roman" w:cs="Times New Roman"/>
          <w:szCs w:val="24"/>
        </w:rPr>
        <w:t xml:space="preserve"> in a separate document. Reports will be submitted once a year to the Coordination Body in charge of monitoring the implementation of the AP23</w:t>
      </w:r>
      <w:r w:rsidR="00F807FD" w:rsidRPr="00600AFD">
        <w:rPr>
          <w:rFonts w:ascii="Times New Roman" w:hAnsi="Times New Roman" w:cs="Times New Roman"/>
          <w:szCs w:val="24"/>
        </w:rPr>
        <w:t xml:space="preserve"> and always at the request of the Coordination Body</w:t>
      </w:r>
      <w:r w:rsidR="001D7692" w:rsidRPr="00600AFD">
        <w:rPr>
          <w:rFonts w:ascii="Times New Roman" w:hAnsi="Times New Roman" w:cs="Times New Roman"/>
          <w:szCs w:val="24"/>
        </w:rPr>
        <w:t>.</w:t>
      </w:r>
    </w:p>
    <w:p w14:paraId="7B6C4217" w14:textId="4A453B4E" w:rsidR="006B03C4" w:rsidRPr="00600AFD" w:rsidRDefault="008F4382" w:rsidP="00AE19D4">
      <w:pPr>
        <w:spacing w:line="276" w:lineRule="auto"/>
        <w:rPr>
          <w:rFonts w:ascii="Times New Roman" w:hAnsi="Times New Roman" w:cs="Times New Roman"/>
          <w:szCs w:val="24"/>
        </w:rPr>
      </w:pPr>
      <w:r w:rsidRPr="00600AFD">
        <w:rPr>
          <w:rFonts w:ascii="Times New Roman" w:hAnsi="Times New Roman" w:cs="Times New Roman"/>
          <w:szCs w:val="24"/>
        </w:rPr>
        <w:t>With a view to achieving maximum</w:t>
      </w:r>
      <w:r w:rsidR="009B46CE" w:rsidRPr="00600AFD">
        <w:rPr>
          <w:rFonts w:ascii="Times New Roman" w:hAnsi="Times New Roman" w:cs="Times New Roman"/>
          <w:szCs w:val="24"/>
        </w:rPr>
        <w:t xml:space="preserve"> efficiency of the mechanism for monitoring</w:t>
      </w:r>
      <w:r w:rsidR="00B61189" w:rsidRPr="00600AFD">
        <w:rPr>
          <w:rFonts w:ascii="Times New Roman" w:hAnsi="Times New Roman" w:cs="Times New Roman"/>
          <w:szCs w:val="24"/>
        </w:rPr>
        <w:t xml:space="preserve"> </w:t>
      </w:r>
      <w:r w:rsidR="006A6953" w:rsidRPr="00600AFD">
        <w:rPr>
          <w:rFonts w:ascii="Times New Roman" w:hAnsi="Times New Roman" w:cs="Times New Roman"/>
          <w:szCs w:val="24"/>
        </w:rPr>
        <w:t>the advancement</w:t>
      </w:r>
      <w:r w:rsidR="00B61189" w:rsidRPr="00600AFD">
        <w:rPr>
          <w:rFonts w:ascii="Times New Roman" w:hAnsi="Times New Roman" w:cs="Times New Roman"/>
          <w:szCs w:val="24"/>
        </w:rPr>
        <w:t xml:space="preserve"> of </w:t>
      </w:r>
      <w:r w:rsidR="006A6953" w:rsidRPr="00600AFD">
        <w:rPr>
          <w:rFonts w:ascii="Times New Roman" w:hAnsi="Times New Roman" w:cs="Times New Roman"/>
          <w:szCs w:val="24"/>
        </w:rPr>
        <w:t xml:space="preserve">the </w:t>
      </w:r>
      <w:r w:rsidR="00B61189" w:rsidRPr="00600AFD">
        <w:rPr>
          <w:rFonts w:ascii="Times New Roman" w:hAnsi="Times New Roman" w:cs="Times New Roman"/>
          <w:szCs w:val="24"/>
        </w:rPr>
        <w:t>judiciary</w:t>
      </w:r>
      <w:r w:rsidR="009B46CE" w:rsidRPr="00600AFD">
        <w:rPr>
          <w:rFonts w:ascii="Times New Roman" w:hAnsi="Times New Roman" w:cs="Times New Roman"/>
          <w:szCs w:val="24"/>
        </w:rPr>
        <w:t xml:space="preserve">, </w:t>
      </w:r>
      <w:r w:rsidR="007F4523" w:rsidRPr="00600AFD">
        <w:rPr>
          <w:rFonts w:ascii="Times New Roman" w:hAnsi="Times New Roman" w:cs="Times New Roman"/>
          <w:szCs w:val="24"/>
        </w:rPr>
        <w:t xml:space="preserve">ensuring as objective reports as possible, as well as strengthening accountability </w:t>
      </w:r>
      <w:r w:rsidR="006B7448" w:rsidRPr="00600AFD">
        <w:rPr>
          <w:rFonts w:ascii="Times New Roman" w:hAnsi="Times New Roman" w:cs="Times New Roman"/>
          <w:szCs w:val="24"/>
        </w:rPr>
        <w:t xml:space="preserve">for the results </w:t>
      </w:r>
      <w:r w:rsidR="00B61189" w:rsidRPr="00600AFD">
        <w:rPr>
          <w:rFonts w:ascii="Times New Roman" w:hAnsi="Times New Roman" w:cs="Times New Roman"/>
          <w:szCs w:val="24"/>
        </w:rPr>
        <w:t xml:space="preserve">achieved </w:t>
      </w:r>
      <w:r w:rsidR="006B7448" w:rsidRPr="00600AFD">
        <w:rPr>
          <w:rFonts w:ascii="Times New Roman" w:hAnsi="Times New Roman" w:cs="Times New Roman"/>
          <w:szCs w:val="24"/>
        </w:rPr>
        <w:t xml:space="preserve">among the </w:t>
      </w:r>
      <w:r w:rsidRPr="00600AFD">
        <w:rPr>
          <w:rFonts w:ascii="Times New Roman" w:hAnsi="Times New Roman" w:cs="Times New Roman"/>
          <w:szCs w:val="24"/>
        </w:rPr>
        <w:t>entities tasked with implementing the</w:t>
      </w:r>
      <w:r w:rsidR="006B7448" w:rsidRPr="00600AFD">
        <w:rPr>
          <w:rFonts w:ascii="Times New Roman" w:hAnsi="Times New Roman" w:cs="Times New Roman"/>
          <w:szCs w:val="24"/>
        </w:rPr>
        <w:t xml:space="preserve"> </w:t>
      </w:r>
      <w:r w:rsidR="006A6953" w:rsidRPr="00600AFD">
        <w:rPr>
          <w:rFonts w:ascii="Times New Roman" w:hAnsi="Times New Roman" w:cs="Times New Roman"/>
          <w:szCs w:val="24"/>
        </w:rPr>
        <w:t>development</w:t>
      </w:r>
      <w:r w:rsidRPr="00600AFD">
        <w:rPr>
          <w:rFonts w:ascii="Times New Roman" w:hAnsi="Times New Roman" w:cs="Times New Roman"/>
          <w:szCs w:val="24"/>
        </w:rPr>
        <w:t xml:space="preserve"> measures</w:t>
      </w:r>
      <w:r w:rsidR="00892A93" w:rsidRPr="00600AFD">
        <w:rPr>
          <w:rFonts w:ascii="Times New Roman" w:hAnsi="Times New Roman" w:cs="Times New Roman"/>
          <w:szCs w:val="24"/>
        </w:rPr>
        <w:t xml:space="preserve">, it is necessary to develop and implement training programs directed towards the strengthening of </w:t>
      </w:r>
      <w:r w:rsidR="00E02016" w:rsidRPr="00600AFD">
        <w:rPr>
          <w:rFonts w:ascii="Times New Roman" w:hAnsi="Times New Roman" w:cs="Times New Roman"/>
          <w:szCs w:val="24"/>
        </w:rPr>
        <w:t>capacities of institutions in the process of self</w:t>
      </w:r>
      <w:r w:rsidR="000F3999">
        <w:rPr>
          <w:rFonts w:ascii="Times New Roman" w:hAnsi="Times New Roman" w:cs="Times New Roman"/>
          <w:szCs w:val="24"/>
        </w:rPr>
        <w:t>–</w:t>
      </w:r>
      <w:r w:rsidRPr="00600AFD">
        <w:rPr>
          <w:rFonts w:ascii="Times New Roman" w:hAnsi="Times New Roman" w:cs="Times New Roman"/>
          <w:szCs w:val="24"/>
        </w:rPr>
        <w:t>assessment</w:t>
      </w:r>
      <w:r w:rsidR="00E02016" w:rsidRPr="00600AFD">
        <w:rPr>
          <w:rFonts w:ascii="Times New Roman" w:hAnsi="Times New Roman" w:cs="Times New Roman"/>
          <w:szCs w:val="24"/>
        </w:rPr>
        <w:t xml:space="preserve"> and reporting. Simultaneously, measures and activities </w:t>
      </w:r>
      <w:r w:rsidR="00B80678" w:rsidRPr="00600AFD">
        <w:rPr>
          <w:rFonts w:ascii="Times New Roman" w:hAnsi="Times New Roman" w:cs="Times New Roman"/>
          <w:szCs w:val="24"/>
        </w:rPr>
        <w:t xml:space="preserve">need to be taken aimed </w:t>
      </w:r>
      <w:r w:rsidRPr="00600AFD">
        <w:rPr>
          <w:rFonts w:ascii="Times New Roman" w:hAnsi="Times New Roman" w:cs="Times New Roman"/>
          <w:szCs w:val="24"/>
        </w:rPr>
        <w:t>at</w:t>
      </w:r>
      <w:r w:rsidR="00B80678" w:rsidRPr="00600AFD">
        <w:rPr>
          <w:rFonts w:ascii="Times New Roman" w:hAnsi="Times New Roman" w:cs="Times New Roman"/>
          <w:szCs w:val="24"/>
        </w:rPr>
        <w:t xml:space="preserve"> raising awareness of the institutions themselves</w:t>
      </w:r>
      <w:r w:rsidR="00F40D25">
        <w:rPr>
          <w:rFonts w:ascii="Times New Roman" w:hAnsi="Times New Roman" w:cs="Times New Roman"/>
          <w:szCs w:val="24"/>
        </w:rPr>
        <w:t xml:space="preserve"> </w:t>
      </w:r>
      <w:r w:rsidR="00FD5962" w:rsidRPr="00600AFD">
        <w:rPr>
          <w:rFonts w:ascii="Times New Roman" w:hAnsi="Times New Roman" w:cs="Times New Roman"/>
          <w:szCs w:val="24"/>
        </w:rPr>
        <w:lastRenderedPageBreak/>
        <w:t>regarding the importance of self</w:t>
      </w:r>
      <w:r w:rsidR="000F3999">
        <w:rPr>
          <w:rFonts w:ascii="Times New Roman" w:hAnsi="Times New Roman" w:cs="Times New Roman"/>
          <w:szCs w:val="24"/>
        </w:rPr>
        <w:t>–</w:t>
      </w:r>
      <w:r w:rsidRPr="00600AFD">
        <w:rPr>
          <w:rFonts w:ascii="Times New Roman" w:hAnsi="Times New Roman" w:cs="Times New Roman"/>
          <w:szCs w:val="24"/>
        </w:rPr>
        <w:t>assessment</w:t>
      </w:r>
      <w:r w:rsidR="00D46525" w:rsidRPr="00600AFD">
        <w:rPr>
          <w:rFonts w:ascii="Times New Roman" w:hAnsi="Times New Roman" w:cs="Times New Roman"/>
          <w:szCs w:val="24"/>
        </w:rPr>
        <w:t xml:space="preserve"> and acquainting the general and expert public </w:t>
      </w:r>
      <w:r w:rsidR="009F60AA" w:rsidRPr="00600AFD">
        <w:rPr>
          <w:rFonts w:ascii="Times New Roman" w:hAnsi="Times New Roman" w:cs="Times New Roman"/>
          <w:szCs w:val="24"/>
        </w:rPr>
        <w:t xml:space="preserve">with the results achieved. </w:t>
      </w:r>
    </w:p>
    <w:p w14:paraId="21C7038B" w14:textId="5D00E924" w:rsidR="00A67403" w:rsidRDefault="009F60AA" w:rsidP="004A5C2E">
      <w:pPr>
        <w:spacing w:line="276" w:lineRule="auto"/>
        <w:rPr>
          <w:rFonts w:ascii="Times New Roman" w:hAnsi="Times New Roman" w:cs="Times New Roman"/>
          <w:szCs w:val="24"/>
        </w:rPr>
      </w:pPr>
      <w:r w:rsidRPr="00600AFD">
        <w:rPr>
          <w:rFonts w:ascii="Times New Roman" w:hAnsi="Times New Roman" w:cs="Times New Roman"/>
          <w:szCs w:val="24"/>
        </w:rPr>
        <w:t xml:space="preserve">Given that the accession negotiations with the EU, </w:t>
      </w:r>
      <w:r w:rsidR="00CA38F8" w:rsidRPr="00600AFD">
        <w:rPr>
          <w:rFonts w:ascii="Times New Roman" w:hAnsi="Times New Roman" w:cs="Times New Roman"/>
          <w:szCs w:val="24"/>
        </w:rPr>
        <w:t xml:space="preserve">specifically </w:t>
      </w:r>
      <w:r w:rsidR="008F4382" w:rsidRPr="00600AFD">
        <w:rPr>
          <w:rFonts w:ascii="Times New Roman" w:hAnsi="Times New Roman" w:cs="Times New Roman"/>
          <w:szCs w:val="24"/>
        </w:rPr>
        <w:t xml:space="preserve">under </w:t>
      </w:r>
      <w:r w:rsidRPr="00600AFD">
        <w:rPr>
          <w:rFonts w:ascii="Times New Roman" w:hAnsi="Times New Roman" w:cs="Times New Roman"/>
          <w:szCs w:val="24"/>
        </w:rPr>
        <w:t xml:space="preserve">Chapter 23, </w:t>
      </w:r>
      <w:r w:rsidR="00CA38F8" w:rsidRPr="00600AFD">
        <w:rPr>
          <w:rFonts w:ascii="Times New Roman" w:hAnsi="Times New Roman" w:cs="Times New Roman"/>
          <w:szCs w:val="24"/>
        </w:rPr>
        <w:t xml:space="preserve">constitute the basic </w:t>
      </w:r>
      <w:r w:rsidR="008F4382" w:rsidRPr="00600AFD">
        <w:rPr>
          <w:rFonts w:ascii="Times New Roman" w:hAnsi="Times New Roman" w:cs="Times New Roman"/>
          <w:szCs w:val="24"/>
        </w:rPr>
        <w:t>context in which judicial</w:t>
      </w:r>
      <w:r w:rsidR="00BD7D83" w:rsidRPr="00600AFD">
        <w:rPr>
          <w:rFonts w:ascii="Times New Roman" w:hAnsi="Times New Roman" w:cs="Times New Roman"/>
          <w:szCs w:val="24"/>
        </w:rPr>
        <w:t xml:space="preserve"> reform </w:t>
      </w:r>
      <w:r w:rsidR="00712EA0" w:rsidRPr="00600AFD">
        <w:rPr>
          <w:rFonts w:ascii="Times New Roman" w:hAnsi="Times New Roman" w:cs="Times New Roman"/>
          <w:szCs w:val="24"/>
        </w:rPr>
        <w:t xml:space="preserve">has been </w:t>
      </w:r>
      <w:r w:rsidR="00BD7D83" w:rsidRPr="00600AFD">
        <w:rPr>
          <w:rFonts w:ascii="Times New Roman" w:hAnsi="Times New Roman" w:cs="Times New Roman"/>
          <w:szCs w:val="24"/>
        </w:rPr>
        <w:t xml:space="preserve">taking place, </w:t>
      </w:r>
      <w:r w:rsidR="003928EA" w:rsidRPr="00600AFD">
        <w:rPr>
          <w:rFonts w:ascii="Times New Roman" w:hAnsi="Times New Roman" w:cs="Times New Roman"/>
          <w:szCs w:val="24"/>
        </w:rPr>
        <w:t xml:space="preserve">as well as in which further development of the </w:t>
      </w:r>
      <w:r w:rsidR="00C319E5" w:rsidRPr="00600AFD">
        <w:rPr>
          <w:rFonts w:ascii="Times New Roman" w:hAnsi="Times New Roman" w:cs="Times New Roman"/>
          <w:szCs w:val="24"/>
        </w:rPr>
        <w:t>judiciary</w:t>
      </w:r>
      <w:r w:rsidR="003928EA" w:rsidRPr="00600AFD">
        <w:rPr>
          <w:rFonts w:ascii="Times New Roman" w:hAnsi="Times New Roman" w:cs="Times New Roman"/>
          <w:szCs w:val="24"/>
        </w:rPr>
        <w:t xml:space="preserve"> will unfold, </w:t>
      </w:r>
      <w:r w:rsidR="00BD7D83" w:rsidRPr="00600AFD">
        <w:rPr>
          <w:rFonts w:ascii="Times New Roman" w:hAnsi="Times New Roman" w:cs="Times New Roman"/>
          <w:szCs w:val="24"/>
        </w:rPr>
        <w:t xml:space="preserve">these programs should be carefully coordinated with the </w:t>
      </w:r>
      <w:r w:rsidR="00323AA2" w:rsidRPr="00600AFD">
        <w:rPr>
          <w:rFonts w:ascii="Times New Roman" w:hAnsi="Times New Roman" w:cs="Times New Roman"/>
          <w:szCs w:val="24"/>
        </w:rPr>
        <w:t xml:space="preserve">programs for </w:t>
      </w:r>
      <w:r w:rsidR="00707209" w:rsidRPr="00600AFD">
        <w:rPr>
          <w:rFonts w:ascii="Times New Roman" w:hAnsi="Times New Roman" w:cs="Times New Roman"/>
          <w:szCs w:val="24"/>
        </w:rPr>
        <w:t xml:space="preserve">strengthening </w:t>
      </w:r>
      <w:r w:rsidR="00323AA2" w:rsidRPr="00600AFD">
        <w:rPr>
          <w:rFonts w:ascii="Times New Roman" w:hAnsi="Times New Roman" w:cs="Times New Roman"/>
          <w:szCs w:val="24"/>
        </w:rPr>
        <w:t xml:space="preserve">capacities of other institutions (outside </w:t>
      </w:r>
      <w:r w:rsidR="008F4382" w:rsidRPr="00600AFD">
        <w:rPr>
          <w:rFonts w:ascii="Times New Roman" w:hAnsi="Times New Roman" w:cs="Times New Roman"/>
          <w:szCs w:val="24"/>
        </w:rPr>
        <w:t xml:space="preserve">of </w:t>
      </w:r>
      <w:r w:rsidR="005A341A" w:rsidRPr="00600AFD">
        <w:rPr>
          <w:rFonts w:ascii="Times New Roman" w:hAnsi="Times New Roman" w:cs="Times New Roman"/>
          <w:szCs w:val="24"/>
        </w:rPr>
        <w:t xml:space="preserve">the </w:t>
      </w:r>
      <w:r w:rsidR="00323AA2" w:rsidRPr="00600AFD">
        <w:rPr>
          <w:rFonts w:ascii="Times New Roman" w:hAnsi="Times New Roman" w:cs="Times New Roman"/>
          <w:szCs w:val="24"/>
        </w:rPr>
        <w:t xml:space="preserve">judiciary) tasked with </w:t>
      </w:r>
      <w:r w:rsidR="00D71689" w:rsidRPr="00600AFD">
        <w:rPr>
          <w:rFonts w:ascii="Times New Roman" w:hAnsi="Times New Roman" w:cs="Times New Roman"/>
          <w:szCs w:val="24"/>
        </w:rPr>
        <w:t xml:space="preserve">the implementation of reform steps within the Chapter 23 framework, </w:t>
      </w:r>
      <w:r w:rsidR="007F1024" w:rsidRPr="00600AFD">
        <w:rPr>
          <w:rFonts w:ascii="Times New Roman" w:hAnsi="Times New Roman" w:cs="Times New Roman"/>
          <w:szCs w:val="24"/>
        </w:rPr>
        <w:t xml:space="preserve">thereby providing for a continuation of the process of rendering </w:t>
      </w:r>
      <w:r w:rsidR="00801E5E" w:rsidRPr="00600AFD">
        <w:rPr>
          <w:rFonts w:ascii="Times New Roman" w:hAnsi="Times New Roman" w:cs="Times New Roman"/>
          <w:szCs w:val="24"/>
        </w:rPr>
        <w:t xml:space="preserve">the </w:t>
      </w:r>
      <w:r w:rsidR="000637D6" w:rsidRPr="00600AFD">
        <w:rPr>
          <w:rFonts w:ascii="Times New Roman" w:hAnsi="Times New Roman" w:cs="Times New Roman"/>
          <w:szCs w:val="24"/>
        </w:rPr>
        <w:t xml:space="preserve">uniform </w:t>
      </w:r>
      <w:r w:rsidR="00801E5E" w:rsidRPr="00600AFD">
        <w:rPr>
          <w:rFonts w:ascii="Times New Roman" w:hAnsi="Times New Roman" w:cs="Times New Roman"/>
          <w:szCs w:val="24"/>
        </w:rPr>
        <w:t xml:space="preserve">methodology </w:t>
      </w:r>
      <w:r w:rsidR="00EE5788" w:rsidRPr="00600AFD">
        <w:rPr>
          <w:rFonts w:ascii="Times New Roman" w:hAnsi="Times New Roman" w:cs="Times New Roman"/>
          <w:szCs w:val="24"/>
        </w:rPr>
        <w:t xml:space="preserve">regarding </w:t>
      </w:r>
      <w:r w:rsidR="007F1024" w:rsidRPr="00600AFD">
        <w:rPr>
          <w:rFonts w:ascii="Times New Roman" w:hAnsi="Times New Roman" w:cs="Times New Roman"/>
          <w:szCs w:val="24"/>
        </w:rPr>
        <w:t>monitoring</w:t>
      </w:r>
      <w:r w:rsidR="00801E5E" w:rsidRPr="00600AFD">
        <w:rPr>
          <w:rFonts w:ascii="Times New Roman" w:hAnsi="Times New Roman" w:cs="Times New Roman"/>
          <w:szCs w:val="24"/>
        </w:rPr>
        <w:t>, reporting</w:t>
      </w:r>
      <w:r w:rsidR="005A341A" w:rsidRPr="00600AFD">
        <w:rPr>
          <w:rFonts w:ascii="Times New Roman" w:hAnsi="Times New Roman" w:cs="Times New Roman"/>
          <w:szCs w:val="24"/>
        </w:rPr>
        <w:t>,</w:t>
      </w:r>
      <w:r w:rsidR="00801E5E" w:rsidRPr="00600AFD">
        <w:rPr>
          <w:rFonts w:ascii="Times New Roman" w:hAnsi="Times New Roman" w:cs="Times New Roman"/>
          <w:szCs w:val="24"/>
        </w:rPr>
        <w:t xml:space="preserve"> and </w:t>
      </w:r>
      <w:r w:rsidR="001F2B27" w:rsidRPr="00600AFD">
        <w:rPr>
          <w:rFonts w:ascii="Times New Roman" w:hAnsi="Times New Roman" w:cs="Times New Roman"/>
          <w:szCs w:val="24"/>
        </w:rPr>
        <w:t>evaluation</w:t>
      </w:r>
      <w:r w:rsidR="00FB4494" w:rsidRPr="00600AFD">
        <w:rPr>
          <w:rFonts w:ascii="Times New Roman" w:hAnsi="Times New Roman" w:cs="Times New Roman"/>
          <w:szCs w:val="24"/>
        </w:rPr>
        <w:t xml:space="preserve"> of </w:t>
      </w:r>
      <w:r w:rsidR="005A341A" w:rsidRPr="00600AFD">
        <w:rPr>
          <w:rFonts w:ascii="Times New Roman" w:hAnsi="Times New Roman" w:cs="Times New Roman"/>
          <w:szCs w:val="24"/>
        </w:rPr>
        <w:t xml:space="preserve">the </w:t>
      </w:r>
      <w:r w:rsidR="00FB4494" w:rsidRPr="00600AFD">
        <w:rPr>
          <w:rFonts w:ascii="Times New Roman" w:hAnsi="Times New Roman" w:cs="Times New Roman"/>
          <w:szCs w:val="24"/>
        </w:rPr>
        <w:t xml:space="preserve">success of </w:t>
      </w:r>
      <w:r w:rsidR="005A341A" w:rsidRPr="00600AFD">
        <w:rPr>
          <w:rFonts w:ascii="Times New Roman" w:hAnsi="Times New Roman" w:cs="Times New Roman"/>
          <w:szCs w:val="24"/>
        </w:rPr>
        <w:t xml:space="preserve">development initiatives </w:t>
      </w:r>
      <w:r w:rsidR="006B5B2E" w:rsidRPr="00600AFD">
        <w:rPr>
          <w:rFonts w:ascii="Times New Roman" w:hAnsi="Times New Roman" w:cs="Times New Roman"/>
          <w:szCs w:val="24"/>
        </w:rPr>
        <w:t xml:space="preserve">in this </w:t>
      </w:r>
      <w:r w:rsidR="00EE5788" w:rsidRPr="00600AFD">
        <w:rPr>
          <w:rFonts w:ascii="Times New Roman" w:hAnsi="Times New Roman" w:cs="Times New Roman"/>
          <w:szCs w:val="24"/>
        </w:rPr>
        <w:t>field</w:t>
      </w:r>
      <w:r w:rsidR="004F68CF" w:rsidRPr="00600AFD">
        <w:rPr>
          <w:rFonts w:ascii="Times New Roman" w:hAnsi="Times New Roman" w:cs="Times New Roman"/>
          <w:szCs w:val="24"/>
        </w:rPr>
        <w:t xml:space="preserve">, which </w:t>
      </w:r>
      <w:r w:rsidR="002D14BB" w:rsidRPr="00600AFD">
        <w:rPr>
          <w:rFonts w:ascii="Times New Roman" w:hAnsi="Times New Roman" w:cs="Times New Roman"/>
          <w:szCs w:val="24"/>
        </w:rPr>
        <w:t xml:space="preserve">was </w:t>
      </w:r>
      <w:r w:rsidR="008F4382" w:rsidRPr="00600AFD">
        <w:rPr>
          <w:rFonts w:ascii="Times New Roman" w:hAnsi="Times New Roman" w:cs="Times New Roman"/>
          <w:szCs w:val="24"/>
        </w:rPr>
        <w:t>initiated</w:t>
      </w:r>
      <w:r w:rsidR="004F68CF" w:rsidRPr="00600AFD">
        <w:rPr>
          <w:rFonts w:ascii="Times New Roman" w:hAnsi="Times New Roman" w:cs="Times New Roman"/>
          <w:szCs w:val="24"/>
        </w:rPr>
        <w:t xml:space="preserve"> </w:t>
      </w:r>
      <w:r w:rsidR="002D14BB" w:rsidRPr="00600AFD">
        <w:rPr>
          <w:rFonts w:ascii="Times New Roman" w:hAnsi="Times New Roman" w:cs="Times New Roman"/>
          <w:szCs w:val="24"/>
        </w:rPr>
        <w:t xml:space="preserve">by </w:t>
      </w:r>
      <w:r w:rsidR="004F68CF" w:rsidRPr="00600AFD">
        <w:rPr>
          <w:rFonts w:ascii="Times New Roman" w:hAnsi="Times New Roman" w:cs="Times New Roman"/>
          <w:szCs w:val="24"/>
        </w:rPr>
        <w:t xml:space="preserve">the </w:t>
      </w:r>
      <w:r w:rsidR="002D14BB" w:rsidRPr="00600AFD">
        <w:rPr>
          <w:rFonts w:ascii="Times New Roman" w:hAnsi="Times New Roman" w:cs="Times New Roman"/>
          <w:szCs w:val="24"/>
        </w:rPr>
        <w:t xml:space="preserve">adoption of </w:t>
      </w:r>
      <w:r w:rsidR="004F68CF" w:rsidRPr="00600AFD">
        <w:rPr>
          <w:rFonts w:ascii="Times New Roman" w:hAnsi="Times New Roman" w:cs="Times New Roman"/>
          <w:szCs w:val="24"/>
        </w:rPr>
        <w:t xml:space="preserve">AP23. </w:t>
      </w:r>
    </w:p>
    <w:p w14:paraId="06FCE0B3" w14:textId="77777777" w:rsidR="00F40D25" w:rsidRPr="00600AFD" w:rsidRDefault="00F40D25" w:rsidP="004A5C2E">
      <w:pPr>
        <w:spacing w:line="276" w:lineRule="auto"/>
        <w:rPr>
          <w:rFonts w:ascii="Times New Roman" w:hAnsi="Times New Roman" w:cs="Times New Roman"/>
          <w:szCs w:val="24"/>
        </w:rPr>
      </w:pPr>
    </w:p>
    <w:p w14:paraId="30C8D077" w14:textId="65C766CD" w:rsidR="000637D6" w:rsidRPr="00600AFD" w:rsidRDefault="000637D6" w:rsidP="00F40D25">
      <w:pPr>
        <w:pStyle w:val="Heading1"/>
        <w:numPr>
          <w:ilvl w:val="0"/>
          <w:numId w:val="29"/>
        </w:numPr>
        <w:rPr>
          <w:rFonts w:ascii="Times New Roman" w:hAnsi="Times New Roman"/>
          <w:sz w:val="24"/>
        </w:rPr>
      </w:pPr>
      <w:bookmarkStart w:id="18" w:name="_Toc39707756"/>
      <w:r w:rsidRPr="00600AFD">
        <w:rPr>
          <w:rFonts w:ascii="Times New Roman" w:hAnsi="Times New Roman"/>
          <w:sz w:val="24"/>
        </w:rPr>
        <w:t xml:space="preserve">CONSULTATIONS </w:t>
      </w:r>
      <w:r w:rsidR="00FE1D05" w:rsidRPr="00600AFD">
        <w:rPr>
          <w:rFonts w:ascii="Times New Roman" w:hAnsi="Times New Roman"/>
          <w:sz w:val="24"/>
        </w:rPr>
        <w:t xml:space="preserve">CONDUCTED </w:t>
      </w:r>
      <w:r w:rsidRPr="00600AFD">
        <w:rPr>
          <w:rFonts w:ascii="Times New Roman" w:hAnsi="Times New Roman"/>
          <w:sz w:val="24"/>
        </w:rPr>
        <w:t>WITH STAKEHOLDERS</w:t>
      </w:r>
      <w:bookmarkEnd w:id="18"/>
      <w:r w:rsidRPr="00600AFD">
        <w:rPr>
          <w:rFonts w:ascii="Times New Roman" w:hAnsi="Times New Roman"/>
          <w:sz w:val="24"/>
        </w:rPr>
        <w:t xml:space="preserve"> </w:t>
      </w:r>
    </w:p>
    <w:p w14:paraId="22F24597" w14:textId="636D2402" w:rsidR="000637D6" w:rsidRPr="00600AFD" w:rsidRDefault="000637D6" w:rsidP="000637D6">
      <w:pPr>
        <w:spacing w:line="276" w:lineRule="auto"/>
        <w:rPr>
          <w:rFonts w:ascii="Times New Roman" w:hAnsi="Times New Roman" w:cs="Times New Roman"/>
          <w:szCs w:val="24"/>
        </w:rPr>
      </w:pPr>
      <w:r w:rsidRPr="00600AFD">
        <w:rPr>
          <w:rFonts w:ascii="Times New Roman" w:hAnsi="Times New Roman" w:cs="Times New Roman"/>
          <w:szCs w:val="24"/>
        </w:rPr>
        <w:t xml:space="preserve">Pursuant to Article 77 of the Law on State Administration, as well as </w:t>
      </w:r>
      <w:r w:rsidR="008757A9" w:rsidRPr="00600AFD">
        <w:rPr>
          <w:rFonts w:ascii="Times New Roman" w:hAnsi="Times New Roman" w:cs="Times New Roman"/>
          <w:szCs w:val="24"/>
        </w:rPr>
        <w:t xml:space="preserve">to </w:t>
      </w:r>
      <w:r w:rsidRPr="00600AFD">
        <w:rPr>
          <w:rFonts w:ascii="Times New Roman" w:hAnsi="Times New Roman" w:cs="Times New Roman"/>
          <w:szCs w:val="24"/>
        </w:rPr>
        <w:t xml:space="preserve">the procedural and methodological framework contained in the Law on the Planning System of the Republic of Serbia, the process of adoption of the </w:t>
      </w:r>
      <w:r w:rsidR="008757A9" w:rsidRPr="00600AFD">
        <w:rPr>
          <w:rFonts w:ascii="Times New Roman" w:hAnsi="Times New Roman" w:cs="Times New Roman"/>
          <w:szCs w:val="24"/>
        </w:rPr>
        <w:t>JDS</w:t>
      </w:r>
      <w:r w:rsidRPr="00600AFD">
        <w:rPr>
          <w:rFonts w:ascii="Times New Roman" w:hAnsi="Times New Roman" w:cs="Times New Roman"/>
          <w:szCs w:val="24"/>
        </w:rPr>
        <w:t xml:space="preserve"> </w:t>
      </w:r>
      <w:r w:rsidR="000F3999">
        <w:rPr>
          <w:rFonts w:ascii="Times New Roman" w:hAnsi="Times New Roman" w:cs="Times New Roman"/>
          <w:szCs w:val="24"/>
        </w:rPr>
        <w:t>2020–2025</w:t>
      </w:r>
      <w:r w:rsidRPr="00600AFD">
        <w:rPr>
          <w:rFonts w:ascii="Times New Roman" w:hAnsi="Times New Roman" w:cs="Times New Roman"/>
          <w:szCs w:val="24"/>
        </w:rPr>
        <w:t xml:space="preserve"> was preceded by a lengthy and comprehensive consultative process involving all judicial institutions, professional associations, civil society organizations and a team of external experts in the field of justice.</w:t>
      </w:r>
    </w:p>
    <w:p w14:paraId="43647BF6" w14:textId="31F04A3A" w:rsidR="000637D6" w:rsidRPr="00600AFD" w:rsidRDefault="000637D6" w:rsidP="000637D6">
      <w:pPr>
        <w:spacing w:line="276" w:lineRule="auto"/>
        <w:rPr>
          <w:rFonts w:ascii="Times New Roman" w:hAnsi="Times New Roman" w:cs="Times New Roman"/>
          <w:szCs w:val="24"/>
        </w:rPr>
      </w:pPr>
      <w:r w:rsidRPr="00600AFD">
        <w:rPr>
          <w:rFonts w:ascii="Times New Roman" w:hAnsi="Times New Roman" w:cs="Times New Roman"/>
          <w:szCs w:val="24"/>
        </w:rPr>
        <w:t xml:space="preserve">The Ministry of Justice informed the public through its website </w:t>
      </w:r>
      <w:r w:rsidR="007778A9" w:rsidRPr="00600AFD">
        <w:rPr>
          <w:rFonts w:ascii="Times New Roman" w:hAnsi="Times New Roman" w:cs="Times New Roman"/>
          <w:szCs w:val="24"/>
        </w:rPr>
        <w:t xml:space="preserve">about </w:t>
      </w:r>
      <w:r w:rsidR="00F34CE8" w:rsidRPr="00600AFD">
        <w:rPr>
          <w:rFonts w:ascii="Times New Roman" w:hAnsi="Times New Roman" w:cs="Times New Roman"/>
          <w:szCs w:val="24"/>
        </w:rPr>
        <w:t>initiating the procedure</w:t>
      </w:r>
      <w:r w:rsidRPr="00600AFD">
        <w:rPr>
          <w:rFonts w:ascii="Times New Roman" w:hAnsi="Times New Roman" w:cs="Times New Roman"/>
          <w:szCs w:val="24"/>
        </w:rPr>
        <w:t xml:space="preserve"> of drafting the strategy in January 2019; </w:t>
      </w:r>
      <w:r w:rsidR="00F34CE8" w:rsidRPr="00600AFD">
        <w:rPr>
          <w:rFonts w:ascii="Times New Roman" w:hAnsi="Times New Roman" w:cs="Times New Roman"/>
          <w:szCs w:val="24"/>
        </w:rPr>
        <w:t>about</w:t>
      </w:r>
      <w:r w:rsidRPr="00600AFD">
        <w:rPr>
          <w:rFonts w:ascii="Times New Roman" w:hAnsi="Times New Roman" w:cs="Times New Roman"/>
          <w:szCs w:val="24"/>
        </w:rPr>
        <w:t xml:space="preserve"> the composition of the working group</w:t>
      </w:r>
      <w:r w:rsidR="00F34CE8" w:rsidRPr="00600AFD">
        <w:rPr>
          <w:rFonts w:ascii="Times New Roman" w:hAnsi="Times New Roman" w:cs="Times New Roman"/>
          <w:szCs w:val="24"/>
        </w:rPr>
        <w:t>;</w:t>
      </w:r>
      <w:r w:rsidRPr="00600AFD">
        <w:rPr>
          <w:rFonts w:ascii="Times New Roman" w:hAnsi="Times New Roman" w:cs="Times New Roman"/>
          <w:szCs w:val="24"/>
        </w:rPr>
        <w:t xml:space="preserve"> as well as </w:t>
      </w:r>
      <w:r w:rsidR="0054453E" w:rsidRPr="00600AFD">
        <w:rPr>
          <w:rFonts w:ascii="Times New Roman" w:hAnsi="Times New Roman" w:cs="Times New Roman"/>
          <w:szCs w:val="24"/>
        </w:rPr>
        <w:t xml:space="preserve">about </w:t>
      </w:r>
      <w:r w:rsidRPr="00600AFD">
        <w:rPr>
          <w:rFonts w:ascii="Times New Roman" w:hAnsi="Times New Roman" w:cs="Times New Roman"/>
          <w:szCs w:val="24"/>
        </w:rPr>
        <w:t xml:space="preserve">the dates </w:t>
      </w:r>
      <w:r w:rsidR="0054453E" w:rsidRPr="00600AFD">
        <w:rPr>
          <w:rFonts w:ascii="Times New Roman" w:hAnsi="Times New Roman" w:cs="Times New Roman"/>
          <w:szCs w:val="24"/>
        </w:rPr>
        <w:t xml:space="preserve">of the </w:t>
      </w:r>
      <w:r w:rsidR="0022015F" w:rsidRPr="00600AFD">
        <w:rPr>
          <w:rFonts w:ascii="Times New Roman" w:hAnsi="Times New Roman" w:cs="Times New Roman"/>
          <w:szCs w:val="24"/>
        </w:rPr>
        <w:t>working group</w:t>
      </w:r>
      <w:r w:rsidR="0054453E" w:rsidRPr="00600AFD">
        <w:rPr>
          <w:rFonts w:ascii="Times New Roman" w:hAnsi="Times New Roman" w:cs="Times New Roman"/>
          <w:szCs w:val="24"/>
        </w:rPr>
        <w:t xml:space="preserve"> meetings </w:t>
      </w:r>
      <w:r w:rsidRPr="00600AFD">
        <w:rPr>
          <w:rFonts w:ascii="Times New Roman" w:hAnsi="Times New Roman" w:cs="Times New Roman"/>
          <w:szCs w:val="24"/>
        </w:rPr>
        <w:t xml:space="preserve">and conclusions adopted; the dates of all round tables </w:t>
      </w:r>
      <w:r w:rsidR="0022015F" w:rsidRPr="00600AFD">
        <w:rPr>
          <w:rFonts w:ascii="Times New Roman" w:hAnsi="Times New Roman" w:cs="Times New Roman"/>
          <w:szCs w:val="24"/>
        </w:rPr>
        <w:t>during which</w:t>
      </w:r>
      <w:r w:rsidRPr="00600AFD">
        <w:rPr>
          <w:rFonts w:ascii="Times New Roman" w:hAnsi="Times New Roman" w:cs="Times New Roman"/>
          <w:szCs w:val="24"/>
        </w:rPr>
        <w:t xml:space="preserve"> two versions of the working text of the strategy were discussed (both texts previously published on the website of the Ministry of Justice in Serbian and English, with an invitation to </w:t>
      </w:r>
      <w:r w:rsidR="00FD3227" w:rsidRPr="00600AFD">
        <w:rPr>
          <w:rFonts w:ascii="Times New Roman" w:hAnsi="Times New Roman" w:cs="Times New Roman"/>
          <w:szCs w:val="24"/>
        </w:rPr>
        <w:t xml:space="preserve">the stakeholders </w:t>
      </w:r>
      <w:r w:rsidRPr="00600AFD">
        <w:rPr>
          <w:rFonts w:ascii="Times New Roman" w:hAnsi="Times New Roman" w:cs="Times New Roman"/>
          <w:szCs w:val="24"/>
        </w:rPr>
        <w:t xml:space="preserve">to submit their suggestions and comments). In addition, all interested parties were able to </w:t>
      </w:r>
      <w:r w:rsidR="000A69FD" w:rsidRPr="00600AFD">
        <w:rPr>
          <w:rFonts w:ascii="Times New Roman" w:hAnsi="Times New Roman" w:cs="Times New Roman"/>
          <w:szCs w:val="24"/>
        </w:rPr>
        <w:t xml:space="preserve">take the floor to </w:t>
      </w:r>
      <w:r w:rsidRPr="00600AFD">
        <w:rPr>
          <w:rFonts w:ascii="Times New Roman" w:hAnsi="Times New Roman" w:cs="Times New Roman"/>
          <w:szCs w:val="24"/>
        </w:rPr>
        <w:t>present their suggestions at four round tables held in Belgrade, Kragujevac, Nis and Novi Sad.</w:t>
      </w:r>
    </w:p>
    <w:p w14:paraId="00F45880" w14:textId="099585F8" w:rsidR="000637D6" w:rsidRPr="00600AFD" w:rsidRDefault="000637D6" w:rsidP="000637D6">
      <w:pPr>
        <w:spacing w:line="276" w:lineRule="auto"/>
        <w:rPr>
          <w:rFonts w:ascii="Times New Roman" w:hAnsi="Times New Roman" w:cs="Times New Roman"/>
          <w:szCs w:val="24"/>
        </w:rPr>
      </w:pPr>
      <w:r w:rsidRPr="00600AFD">
        <w:rPr>
          <w:rFonts w:ascii="Times New Roman" w:hAnsi="Times New Roman" w:cs="Times New Roman"/>
          <w:szCs w:val="24"/>
        </w:rPr>
        <w:t xml:space="preserve">A detailed report on the conducted consultation process, with a tabular overview of the received comments and the described manner </w:t>
      </w:r>
      <w:r w:rsidR="00FA5722" w:rsidRPr="00600AFD">
        <w:rPr>
          <w:rFonts w:ascii="Times New Roman" w:hAnsi="Times New Roman" w:cs="Times New Roman"/>
          <w:szCs w:val="24"/>
        </w:rPr>
        <w:t xml:space="preserve">and the extent </w:t>
      </w:r>
      <w:r w:rsidRPr="00600AFD">
        <w:rPr>
          <w:rFonts w:ascii="Times New Roman" w:hAnsi="Times New Roman" w:cs="Times New Roman"/>
          <w:szCs w:val="24"/>
        </w:rPr>
        <w:t>of their implementation in the working text, were also published on the web</w:t>
      </w:r>
      <w:r w:rsidR="00FA5722" w:rsidRPr="00600AFD">
        <w:rPr>
          <w:rFonts w:ascii="Times New Roman" w:hAnsi="Times New Roman" w:cs="Times New Roman"/>
          <w:szCs w:val="24"/>
        </w:rPr>
        <w:t>site</w:t>
      </w:r>
      <w:r w:rsidRPr="00600AFD">
        <w:rPr>
          <w:rFonts w:ascii="Times New Roman" w:hAnsi="Times New Roman" w:cs="Times New Roman"/>
          <w:szCs w:val="24"/>
        </w:rPr>
        <w:t xml:space="preserve"> of the Ministry of Justice</w:t>
      </w:r>
      <w:r w:rsidR="00FA5722" w:rsidRPr="00600AFD">
        <w:rPr>
          <w:rFonts w:ascii="Times New Roman" w:hAnsi="Times New Roman" w:cs="Times New Roman"/>
          <w:szCs w:val="24"/>
        </w:rPr>
        <w:t xml:space="preserve">, </w:t>
      </w:r>
      <w:r w:rsidR="000F1D46" w:rsidRPr="00600AFD">
        <w:rPr>
          <w:rFonts w:ascii="Times New Roman" w:hAnsi="Times New Roman" w:cs="Times New Roman"/>
          <w:szCs w:val="24"/>
        </w:rPr>
        <w:t xml:space="preserve">in which way the whole process, from the setting up the </w:t>
      </w:r>
      <w:r w:rsidR="00F676DF" w:rsidRPr="00600AFD">
        <w:rPr>
          <w:rFonts w:ascii="Times New Roman" w:hAnsi="Times New Roman" w:cs="Times New Roman"/>
          <w:szCs w:val="24"/>
        </w:rPr>
        <w:t xml:space="preserve">working group for drafting the Strategy until </w:t>
      </w:r>
      <w:r w:rsidRPr="00600AFD">
        <w:rPr>
          <w:rFonts w:ascii="Times New Roman" w:hAnsi="Times New Roman" w:cs="Times New Roman"/>
          <w:szCs w:val="24"/>
        </w:rPr>
        <w:t xml:space="preserve">the </w:t>
      </w:r>
      <w:r w:rsidR="00F676DF" w:rsidRPr="00600AFD">
        <w:rPr>
          <w:rFonts w:ascii="Times New Roman" w:hAnsi="Times New Roman" w:cs="Times New Roman"/>
          <w:szCs w:val="24"/>
        </w:rPr>
        <w:t xml:space="preserve">moment of </w:t>
      </w:r>
      <w:r w:rsidR="00BC595D" w:rsidRPr="00600AFD">
        <w:rPr>
          <w:rFonts w:ascii="Times New Roman" w:hAnsi="Times New Roman" w:cs="Times New Roman"/>
          <w:szCs w:val="24"/>
        </w:rPr>
        <w:t>putting it forward to</w:t>
      </w:r>
      <w:r w:rsidR="000A69FD" w:rsidRPr="00600AFD">
        <w:rPr>
          <w:rFonts w:ascii="Times New Roman" w:hAnsi="Times New Roman" w:cs="Times New Roman"/>
          <w:szCs w:val="24"/>
        </w:rPr>
        <w:t xml:space="preserve"> the</w:t>
      </w:r>
      <w:r w:rsidR="00BC595D" w:rsidRPr="00600AFD">
        <w:rPr>
          <w:rFonts w:ascii="Times New Roman" w:hAnsi="Times New Roman" w:cs="Times New Roman"/>
          <w:szCs w:val="24"/>
        </w:rPr>
        <w:t xml:space="preserve"> </w:t>
      </w:r>
      <w:r w:rsidRPr="00600AFD">
        <w:rPr>
          <w:rFonts w:ascii="Times New Roman" w:hAnsi="Times New Roman" w:cs="Times New Roman"/>
          <w:szCs w:val="24"/>
        </w:rPr>
        <w:t xml:space="preserve">adoption procedure, </w:t>
      </w:r>
      <w:r w:rsidR="000A69FD" w:rsidRPr="00600AFD">
        <w:rPr>
          <w:rFonts w:ascii="Times New Roman" w:hAnsi="Times New Roman" w:cs="Times New Roman"/>
          <w:szCs w:val="24"/>
        </w:rPr>
        <w:t xml:space="preserve">was </w:t>
      </w:r>
      <w:r w:rsidRPr="00600AFD">
        <w:rPr>
          <w:rFonts w:ascii="Times New Roman" w:hAnsi="Times New Roman" w:cs="Times New Roman"/>
          <w:szCs w:val="24"/>
        </w:rPr>
        <w:t>made completely transparent.</w:t>
      </w:r>
    </w:p>
    <w:p w14:paraId="22DC45DC" w14:textId="14CCB540" w:rsidR="000637D6" w:rsidRDefault="000637D6" w:rsidP="000637D6">
      <w:pPr>
        <w:spacing w:line="276" w:lineRule="auto"/>
        <w:rPr>
          <w:rFonts w:ascii="Times New Roman" w:hAnsi="Times New Roman" w:cs="Times New Roman"/>
          <w:szCs w:val="24"/>
        </w:rPr>
      </w:pPr>
      <w:r w:rsidRPr="00600AFD">
        <w:rPr>
          <w:rFonts w:ascii="Times New Roman" w:hAnsi="Times New Roman" w:cs="Times New Roman"/>
          <w:szCs w:val="24"/>
        </w:rPr>
        <w:t>The adoption of this strategy was preceded by a public debate, in accordance with the Rules of Procedure of the Government.</w:t>
      </w:r>
    </w:p>
    <w:p w14:paraId="0C521266" w14:textId="77777777" w:rsidR="00F40D25" w:rsidRPr="00600AFD" w:rsidRDefault="00F40D25" w:rsidP="000637D6">
      <w:pPr>
        <w:spacing w:line="276" w:lineRule="auto"/>
        <w:rPr>
          <w:rFonts w:ascii="Times New Roman" w:hAnsi="Times New Roman" w:cs="Times New Roman"/>
          <w:szCs w:val="24"/>
        </w:rPr>
      </w:pPr>
    </w:p>
    <w:p w14:paraId="16467D13" w14:textId="65DE1B5D" w:rsidR="006051FA" w:rsidRPr="00600AFD" w:rsidRDefault="006051FA" w:rsidP="00F40D25">
      <w:pPr>
        <w:pStyle w:val="Heading1"/>
        <w:numPr>
          <w:ilvl w:val="0"/>
          <w:numId w:val="29"/>
        </w:numPr>
        <w:rPr>
          <w:rFonts w:ascii="Times New Roman" w:hAnsi="Times New Roman"/>
          <w:sz w:val="24"/>
        </w:rPr>
      </w:pPr>
      <w:bookmarkStart w:id="19" w:name="_Toc39707757"/>
      <w:r w:rsidRPr="00600AFD">
        <w:rPr>
          <w:rFonts w:ascii="Times New Roman" w:hAnsi="Times New Roman"/>
          <w:sz w:val="24"/>
        </w:rPr>
        <w:lastRenderedPageBreak/>
        <w:t xml:space="preserve">ESTIMATION OF FINANCIAL RESOURCES REQUIRED FOR IMPLEMENTATION OF THE STRATEGY AND </w:t>
      </w:r>
      <w:r w:rsidR="00B23EA3" w:rsidRPr="00600AFD">
        <w:rPr>
          <w:rFonts w:ascii="Times New Roman" w:hAnsi="Times New Roman"/>
          <w:sz w:val="24"/>
        </w:rPr>
        <w:t xml:space="preserve">FINANCIAL IMPACT </w:t>
      </w:r>
      <w:r w:rsidRPr="00600AFD">
        <w:rPr>
          <w:rFonts w:ascii="Times New Roman" w:hAnsi="Times New Roman"/>
          <w:sz w:val="24"/>
        </w:rPr>
        <w:t>ANALYSIS</w:t>
      </w:r>
      <w:bookmarkEnd w:id="19"/>
    </w:p>
    <w:p w14:paraId="2938EDF6" w14:textId="64A44965" w:rsidR="006051FA" w:rsidRPr="00600AFD" w:rsidRDefault="006051FA" w:rsidP="006051FA">
      <w:pPr>
        <w:spacing w:line="276" w:lineRule="auto"/>
        <w:rPr>
          <w:rFonts w:ascii="Times New Roman" w:hAnsi="Times New Roman" w:cs="Times New Roman"/>
          <w:szCs w:val="24"/>
        </w:rPr>
      </w:pPr>
      <w:r w:rsidRPr="00600AFD">
        <w:rPr>
          <w:rFonts w:ascii="Times New Roman" w:hAnsi="Times New Roman" w:cs="Times New Roman"/>
          <w:szCs w:val="24"/>
        </w:rPr>
        <w:t>For the Justice Development Strategy</w:t>
      </w:r>
      <w:r w:rsidR="0018513A" w:rsidRPr="00600AFD">
        <w:rPr>
          <w:rFonts w:ascii="Times New Roman" w:hAnsi="Times New Roman" w:cs="Times New Roman"/>
          <w:szCs w:val="24"/>
        </w:rPr>
        <w:t xml:space="preserve"> for the period </w:t>
      </w:r>
      <w:r w:rsidR="000F3999">
        <w:rPr>
          <w:rFonts w:ascii="Times New Roman" w:hAnsi="Times New Roman" w:cs="Times New Roman"/>
          <w:szCs w:val="24"/>
        </w:rPr>
        <w:t>2020–2025</w:t>
      </w:r>
      <w:r w:rsidR="0018513A" w:rsidRPr="00600AFD">
        <w:rPr>
          <w:rFonts w:ascii="Times New Roman" w:hAnsi="Times New Roman" w:cs="Times New Roman"/>
          <w:szCs w:val="24"/>
        </w:rPr>
        <w:t xml:space="preserve"> adoption procedure, no</w:t>
      </w:r>
      <w:r w:rsidRPr="00600AFD">
        <w:rPr>
          <w:rFonts w:ascii="Times New Roman" w:hAnsi="Times New Roman" w:cs="Times New Roman"/>
          <w:szCs w:val="24"/>
        </w:rPr>
        <w:t xml:space="preserve"> financial resources are needed, while the financial resources required for the implementation of the Strategy will be </w:t>
      </w:r>
      <w:r w:rsidR="00BE4457" w:rsidRPr="00600AFD">
        <w:rPr>
          <w:rFonts w:ascii="Times New Roman" w:hAnsi="Times New Roman" w:cs="Times New Roman"/>
          <w:szCs w:val="24"/>
        </w:rPr>
        <w:t xml:space="preserve">determined </w:t>
      </w:r>
      <w:r w:rsidRPr="00600AFD">
        <w:rPr>
          <w:rFonts w:ascii="Times New Roman" w:hAnsi="Times New Roman" w:cs="Times New Roman"/>
          <w:szCs w:val="24"/>
        </w:rPr>
        <w:t>in the process of drafting a revised Action Plan for Chapter 23, based on a detailed assessment for each planned activity,</w:t>
      </w:r>
      <w:r w:rsidR="00641C96" w:rsidRPr="00600AFD">
        <w:rPr>
          <w:rFonts w:ascii="Times New Roman" w:hAnsi="Times New Roman" w:cs="Times New Roman"/>
          <w:szCs w:val="24"/>
        </w:rPr>
        <w:t xml:space="preserve"> considering</w:t>
      </w:r>
      <w:r w:rsidRPr="00600AFD">
        <w:rPr>
          <w:rFonts w:ascii="Times New Roman" w:hAnsi="Times New Roman" w:cs="Times New Roman"/>
          <w:szCs w:val="24"/>
        </w:rPr>
        <w:t xml:space="preserve"> the</w:t>
      </w:r>
      <w:r w:rsidR="00641C96" w:rsidRPr="00600AFD">
        <w:rPr>
          <w:rFonts w:ascii="Times New Roman" w:hAnsi="Times New Roman" w:cs="Times New Roman"/>
          <w:szCs w:val="24"/>
        </w:rPr>
        <w:t xml:space="preserve"> fact that the</w:t>
      </w:r>
      <w:r w:rsidRPr="00600AFD">
        <w:rPr>
          <w:rFonts w:ascii="Times New Roman" w:hAnsi="Times New Roman" w:cs="Times New Roman"/>
          <w:szCs w:val="24"/>
        </w:rPr>
        <w:t xml:space="preserve"> implementation of the Strategy will </w:t>
      </w:r>
      <w:r w:rsidR="00641C96" w:rsidRPr="00600AFD">
        <w:rPr>
          <w:rFonts w:ascii="Times New Roman" w:hAnsi="Times New Roman" w:cs="Times New Roman"/>
          <w:szCs w:val="24"/>
        </w:rPr>
        <w:t xml:space="preserve">be provided </w:t>
      </w:r>
      <w:r w:rsidR="00876E4F" w:rsidRPr="00600AFD">
        <w:rPr>
          <w:rFonts w:ascii="Times New Roman" w:hAnsi="Times New Roman" w:cs="Times New Roman"/>
          <w:szCs w:val="24"/>
        </w:rPr>
        <w:t>through t</w:t>
      </w:r>
      <w:r w:rsidRPr="00600AFD">
        <w:rPr>
          <w:rFonts w:ascii="Times New Roman" w:hAnsi="Times New Roman" w:cs="Times New Roman"/>
          <w:szCs w:val="24"/>
        </w:rPr>
        <w:t>he revised Action Plan for Chapter 23. This approach will provide a higher level of precision for the assessment of the financial resources needed to implement the Strategy, as well as an assessment of the results of the Strategy's implementation.</w:t>
      </w:r>
    </w:p>
    <w:p w14:paraId="080DC8B8" w14:textId="6DBCA7D1" w:rsidR="006051FA" w:rsidRPr="00600AFD" w:rsidRDefault="006051FA" w:rsidP="00F40D25">
      <w:pPr>
        <w:pStyle w:val="Heading1"/>
        <w:numPr>
          <w:ilvl w:val="0"/>
          <w:numId w:val="29"/>
        </w:numPr>
        <w:rPr>
          <w:rFonts w:ascii="Times New Roman" w:hAnsi="Times New Roman"/>
          <w:sz w:val="24"/>
        </w:rPr>
      </w:pPr>
      <w:bookmarkStart w:id="20" w:name="_Toc39707758"/>
      <w:r w:rsidRPr="00600AFD">
        <w:rPr>
          <w:rFonts w:ascii="Times New Roman" w:hAnsi="Times New Roman"/>
          <w:sz w:val="24"/>
        </w:rPr>
        <w:t>ACTION PLAN</w:t>
      </w:r>
      <w:bookmarkEnd w:id="20"/>
    </w:p>
    <w:p w14:paraId="2F9DB8BB" w14:textId="25E90247" w:rsidR="006051FA" w:rsidRPr="004A2704" w:rsidRDefault="006051FA" w:rsidP="006051FA">
      <w:pPr>
        <w:spacing w:line="276" w:lineRule="auto"/>
        <w:rPr>
          <w:rFonts w:ascii="Times New Roman" w:hAnsi="Times New Roman" w:cs="Times New Roman"/>
          <w:szCs w:val="24"/>
        </w:rPr>
      </w:pPr>
      <w:r w:rsidRPr="00600AFD">
        <w:rPr>
          <w:rFonts w:ascii="Times New Roman" w:hAnsi="Times New Roman" w:cs="Times New Roman"/>
          <w:szCs w:val="24"/>
        </w:rPr>
        <w:t>Measures</w:t>
      </w:r>
      <w:r w:rsidR="00282AED" w:rsidRPr="00600AFD">
        <w:rPr>
          <w:rFonts w:ascii="Times New Roman" w:hAnsi="Times New Roman" w:cs="Times New Roman"/>
          <w:szCs w:val="24"/>
        </w:rPr>
        <w:t xml:space="preserve"> deriving</w:t>
      </w:r>
      <w:r w:rsidRPr="00600AFD">
        <w:rPr>
          <w:rFonts w:ascii="Times New Roman" w:hAnsi="Times New Roman" w:cs="Times New Roman"/>
          <w:szCs w:val="24"/>
        </w:rPr>
        <w:t xml:space="preserve"> from the Strategy will be implemented through the implementation of activities from the revised Action Plan for Chapter 23, which also determines the </w:t>
      </w:r>
      <w:r w:rsidR="004F3B3E" w:rsidRPr="00600AFD">
        <w:rPr>
          <w:rFonts w:ascii="Times New Roman" w:hAnsi="Times New Roman" w:cs="Times New Roman"/>
          <w:szCs w:val="24"/>
        </w:rPr>
        <w:t xml:space="preserve">responsible authorities </w:t>
      </w:r>
      <w:r w:rsidRPr="00600AFD">
        <w:rPr>
          <w:rFonts w:ascii="Times New Roman" w:hAnsi="Times New Roman" w:cs="Times New Roman"/>
          <w:szCs w:val="24"/>
        </w:rPr>
        <w:t xml:space="preserve">for the implementation of activities, as well as deadlines and </w:t>
      </w:r>
      <w:r w:rsidR="004F3B3E" w:rsidRPr="00600AFD">
        <w:rPr>
          <w:rFonts w:ascii="Times New Roman" w:hAnsi="Times New Roman" w:cs="Times New Roman"/>
          <w:szCs w:val="24"/>
        </w:rPr>
        <w:t>financial resources</w:t>
      </w:r>
      <w:r w:rsidRPr="00600AFD">
        <w:rPr>
          <w:rFonts w:ascii="Times New Roman" w:hAnsi="Times New Roman" w:cs="Times New Roman"/>
          <w:szCs w:val="24"/>
        </w:rPr>
        <w:t xml:space="preserve">. The revised Action Plan for Chapter 23 contains impact indicators and result indicators </w:t>
      </w:r>
      <w:r w:rsidR="00C64ECF" w:rsidRPr="00600AFD">
        <w:rPr>
          <w:rFonts w:ascii="Times New Roman" w:hAnsi="Times New Roman" w:cs="Times New Roman"/>
          <w:szCs w:val="24"/>
        </w:rPr>
        <w:t xml:space="preserve">according to </w:t>
      </w:r>
      <w:r w:rsidR="00C64ECF" w:rsidRPr="004A2704">
        <w:rPr>
          <w:rFonts w:ascii="Times New Roman" w:hAnsi="Times New Roman" w:cs="Times New Roman"/>
          <w:szCs w:val="24"/>
        </w:rPr>
        <w:t xml:space="preserve">which </w:t>
      </w:r>
      <w:r w:rsidRPr="004A2704">
        <w:rPr>
          <w:rFonts w:ascii="Times New Roman" w:hAnsi="Times New Roman" w:cs="Times New Roman"/>
          <w:szCs w:val="24"/>
        </w:rPr>
        <w:t xml:space="preserve">the </w:t>
      </w:r>
      <w:r w:rsidR="00C64ECF" w:rsidRPr="004A2704">
        <w:rPr>
          <w:rFonts w:ascii="Times New Roman" w:hAnsi="Times New Roman" w:cs="Times New Roman"/>
          <w:szCs w:val="24"/>
        </w:rPr>
        <w:t>extent</w:t>
      </w:r>
      <w:r w:rsidRPr="004A2704">
        <w:rPr>
          <w:rFonts w:ascii="Times New Roman" w:hAnsi="Times New Roman" w:cs="Times New Roman"/>
          <w:szCs w:val="24"/>
        </w:rPr>
        <w:t xml:space="preserve"> of</w:t>
      </w:r>
      <w:r w:rsidR="00C64ECF" w:rsidRPr="004A2704">
        <w:rPr>
          <w:rFonts w:ascii="Times New Roman" w:hAnsi="Times New Roman" w:cs="Times New Roman"/>
          <w:szCs w:val="24"/>
        </w:rPr>
        <w:t xml:space="preserve"> the</w:t>
      </w:r>
      <w:r w:rsidRPr="004A2704">
        <w:rPr>
          <w:rFonts w:ascii="Times New Roman" w:hAnsi="Times New Roman" w:cs="Times New Roman"/>
          <w:szCs w:val="24"/>
        </w:rPr>
        <w:t xml:space="preserve"> implementation of measures and activities is </w:t>
      </w:r>
      <w:r w:rsidR="001456DF" w:rsidRPr="004A2704">
        <w:rPr>
          <w:rFonts w:ascii="Times New Roman" w:hAnsi="Times New Roman" w:cs="Times New Roman"/>
          <w:szCs w:val="24"/>
        </w:rPr>
        <w:t xml:space="preserve">being </w:t>
      </w:r>
      <w:r w:rsidRPr="004A2704">
        <w:rPr>
          <w:rFonts w:ascii="Times New Roman" w:hAnsi="Times New Roman" w:cs="Times New Roman"/>
          <w:szCs w:val="24"/>
        </w:rPr>
        <w:t>measured.</w:t>
      </w:r>
    </w:p>
    <w:p w14:paraId="647B3447" w14:textId="77777777" w:rsidR="00F40D25" w:rsidRPr="004A2704" w:rsidRDefault="00F40D25" w:rsidP="004A2704">
      <w:pPr>
        <w:pStyle w:val="Heading1"/>
        <w:numPr>
          <w:ilvl w:val="0"/>
          <w:numId w:val="29"/>
        </w:numPr>
        <w:rPr>
          <w:rFonts w:ascii="Times New Roman" w:hAnsi="Times New Roman"/>
          <w:sz w:val="24"/>
        </w:rPr>
      </w:pPr>
      <w:r w:rsidRPr="004A2704">
        <w:rPr>
          <w:rFonts w:ascii="Times New Roman" w:hAnsi="Times New Roman"/>
          <w:sz w:val="24"/>
        </w:rPr>
        <w:t>ANNEXES</w:t>
      </w:r>
    </w:p>
    <w:p w14:paraId="7A8F9A65" w14:textId="4508F8FF" w:rsidR="004A2704" w:rsidRPr="004A2704" w:rsidRDefault="004A2704" w:rsidP="004A2704">
      <w:pPr>
        <w:rPr>
          <w:rFonts w:ascii="Times New Roman" w:hAnsi="Times New Roman" w:cs="Times New Roman"/>
        </w:rPr>
      </w:pPr>
      <w:r w:rsidRPr="004A2704">
        <w:rPr>
          <w:rFonts w:ascii="Times New Roman" w:hAnsi="Times New Roman" w:cs="Times New Roman"/>
        </w:rPr>
        <w:t xml:space="preserve">This Strategy contains Annex </w:t>
      </w:r>
      <w:r>
        <w:rPr>
          <w:rFonts w:ascii="Times New Roman" w:hAnsi="Times New Roman" w:cs="Times New Roman"/>
        </w:rPr>
        <w:t>1</w:t>
      </w:r>
      <w:r w:rsidRPr="004A2704">
        <w:rPr>
          <w:rFonts w:ascii="Times New Roman" w:hAnsi="Times New Roman" w:cs="Times New Roman"/>
        </w:rPr>
        <w:t xml:space="preserve">, which forms its integral part. </w:t>
      </w:r>
    </w:p>
    <w:p w14:paraId="47C87CCC" w14:textId="77777777" w:rsidR="004A2704" w:rsidRPr="004A2704" w:rsidRDefault="004A2704" w:rsidP="004A2704">
      <w:pPr>
        <w:rPr>
          <w:rFonts w:ascii="Times New Roman" w:hAnsi="Times New Roman" w:cs="Times New Roman"/>
        </w:rPr>
      </w:pPr>
    </w:p>
    <w:p w14:paraId="5D4EBA25" w14:textId="77777777" w:rsidR="004A2704" w:rsidRPr="004A2704" w:rsidRDefault="004A2704" w:rsidP="004A2704">
      <w:pPr>
        <w:pStyle w:val="Heading1"/>
        <w:numPr>
          <w:ilvl w:val="0"/>
          <w:numId w:val="29"/>
        </w:numPr>
        <w:rPr>
          <w:rFonts w:ascii="Times New Roman" w:hAnsi="Times New Roman"/>
          <w:sz w:val="24"/>
        </w:rPr>
      </w:pPr>
      <w:r w:rsidRPr="004A2704">
        <w:rPr>
          <w:rFonts w:ascii="Times New Roman" w:hAnsi="Times New Roman"/>
          <w:sz w:val="24"/>
        </w:rPr>
        <w:t>FINAL PROVISIONS</w:t>
      </w:r>
    </w:p>
    <w:p w14:paraId="106A6EF6" w14:textId="5E2F8737" w:rsidR="004A2704" w:rsidRPr="004A2704" w:rsidRDefault="004A2704" w:rsidP="004A2704">
      <w:pPr>
        <w:rPr>
          <w:rFonts w:ascii="Times New Roman" w:hAnsi="Times New Roman" w:cs="Times New Roman"/>
        </w:rPr>
      </w:pPr>
      <w:r w:rsidRPr="004A2704">
        <w:rPr>
          <w:rFonts w:ascii="Times New Roman" w:hAnsi="Times New Roman" w:cs="Times New Roman"/>
        </w:rPr>
        <w:t xml:space="preserve">This </w:t>
      </w:r>
      <w:r w:rsidRPr="004A2704">
        <w:rPr>
          <w:rFonts w:ascii="Times New Roman" w:hAnsi="Times New Roman" w:cs="Times New Roman"/>
        </w:rPr>
        <w:t>S</w:t>
      </w:r>
      <w:r w:rsidRPr="004A2704">
        <w:rPr>
          <w:rFonts w:ascii="Times New Roman" w:hAnsi="Times New Roman" w:cs="Times New Roman"/>
        </w:rPr>
        <w:t xml:space="preserve">trategy is published on the Government's website, on the e-Government portal and on the website of the Ministry of Justice, within seven working days from the day of </w:t>
      </w:r>
      <w:r w:rsidRPr="004A2704">
        <w:rPr>
          <w:rFonts w:ascii="Times New Roman" w:hAnsi="Times New Roman" w:cs="Times New Roman"/>
        </w:rPr>
        <w:t xml:space="preserve">its </w:t>
      </w:r>
      <w:r w:rsidRPr="004A2704">
        <w:rPr>
          <w:rFonts w:ascii="Times New Roman" w:hAnsi="Times New Roman" w:cs="Times New Roman"/>
        </w:rPr>
        <w:t>adoption.</w:t>
      </w:r>
    </w:p>
    <w:p w14:paraId="60633D7E" w14:textId="0438C429" w:rsidR="004A2704" w:rsidRPr="004A2704" w:rsidRDefault="004A2704" w:rsidP="004A2704">
      <w:pPr>
        <w:rPr>
          <w:rFonts w:ascii="Times New Roman" w:hAnsi="Times New Roman" w:cs="Times New Roman"/>
        </w:rPr>
      </w:pPr>
      <w:r w:rsidRPr="004A2704">
        <w:rPr>
          <w:rFonts w:ascii="Times New Roman" w:hAnsi="Times New Roman" w:cs="Times New Roman"/>
        </w:rPr>
        <w:t>This Strategy is p</w:t>
      </w:r>
      <w:r w:rsidRPr="004A2704">
        <w:rPr>
          <w:rFonts w:ascii="Times New Roman" w:hAnsi="Times New Roman" w:cs="Times New Roman"/>
        </w:rPr>
        <w:t>ublish</w:t>
      </w:r>
      <w:r w:rsidRPr="004A2704">
        <w:rPr>
          <w:rFonts w:ascii="Times New Roman" w:hAnsi="Times New Roman" w:cs="Times New Roman"/>
        </w:rPr>
        <w:t>ed</w:t>
      </w:r>
      <w:r w:rsidRPr="004A2704">
        <w:rPr>
          <w:rFonts w:ascii="Times New Roman" w:hAnsi="Times New Roman" w:cs="Times New Roman"/>
        </w:rPr>
        <w:t xml:space="preserve"> in the "Official Gazette of the Republic of Serbia".</w:t>
      </w:r>
    </w:p>
    <w:p w14:paraId="009DDF27" w14:textId="77777777" w:rsidR="004A2704" w:rsidRDefault="004A2704" w:rsidP="004A2704"/>
    <w:p w14:paraId="5861DD51" w14:textId="4757B1C4" w:rsidR="004A2704" w:rsidRPr="001E74A2" w:rsidRDefault="004A2704" w:rsidP="004A2704">
      <w:pPr>
        <w:rPr>
          <w:rFonts w:ascii="Times New Roman" w:hAnsi="Times New Roman"/>
          <w:color w:val="000000"/>
          <w:lang w:val="sr-Cyrl-RS"/>
        </w:rPr>
      </w:pPr>
      <w:r w:rsidRPr="001E74A2">
        <w:rPr>
          <w:rFonts w:ascii="Times New Roman" w:hAnsi="Times New Roman"/>
          <w:color w:val="000000"/>
        </w:rPr>
        <w:t xml:space="preserve">05 </w:t>
      </w:r>
      <w:r>
        <w:rPr>
          <w:rFonts w:ascii="Times New Roman" w:hAnsi="Times New Roman"/>
          <w:color w:val="000000"/>
        </w:rPr>
        <w:t>Number</w:t>
      </w:r>
      <w:r w:rsidRPr="001E74A2">
        <w:rPr>
          <w:rFonts w:ascii="Times New Roman" w:hAnsi="Times New Roman"/>
          <w:color w:val="000000"/>
        </w:rPr>
        <w:t xml:space="preserve">: </w:t>
      </w:r>
      <w:r>
        <w:rPr>
          <w:rFonts w:ascii="Times New Roman" w:hAnsi="Times New Roman"/>
          <w:color w:val="000000"/>
          <w:lang w:val="sr-Latn-RS"/>
        </w:rPr>
        <w:t>021</w:t>
      </w:r>
      <w:r>
        <w:rPr>
          <w:rFonts w:ascii="Times New Roman" w:hAnsi="Times New Roman"/>
          <w:color w:val="000000"/>
        </w:rPr>
        <w:t>–</w:t>
      </w:r>
      <w:r w:rsidRPr="001E74A2">
        <w:rPr>
          <w:rFonts w:ascii="Times New Roman" w:hAnsi="Times New Roman"/>
          <w:color w:val="000000"/>
          <w:lang w:val="sr-Cyrl-RS"/>
        </w:rPr>
        <w:t>55</w:t>
      </w:r>
      <w:r>
        <w:rPr>
          <w:rFonts w:ascii="Times New Roman" w:hAnsi="Times New Roman"/>
          <w:color w:val="000000"/>
          <w:lang w:val="sr-Latn-RS"/>
        </w:rPr>
        <w:t>39</w:t>
      </w:r>
      <w:r w:rsidRPr="001E74A2">
        <w:rPr>
          <w:rFonts w:ascii="Times New Roman" w:hAnsi="Times New Roman"/>
          <w:color w:val="000000"/>
        </w:rPr>
        <w:t>/</w:t>
      </w:r>
      <w:r w:rsidRPr="001E74A2">
        <w:rPr>
          <w:rFonts w:ascii="Times New Roman" w:hAnsi="Times New Roman"/>
        </w:rPr>
        <w:t>2020</w:t>
      </w:r>
    </w:p>
    <w:p w14:paraId="3D744451" w14:textId="06417F1A" w:rsidR="004A2704" w:rsidRPr="001E74A2" w:rsidRDefault="004A2704" w:rsidP="004A2704">
      <w:pPr>
        <w:rPr>
          <w:rFonts w:ascii="Times New Roman" w:hAnsi="Times New Roman"/>
          <w:lang w:val="sr-Latn-CS"/>
        </w:rPr>
      </w:pPr>
      <w:r>
        <w:rPr>
          <w:rFonts w:ascii="Times New Roman" w:hAnsi="Times New Roman"/>
        </w:rPr>
        <w:t>In Belgrade</w:t>
      </w:r>
      <w:r w:rsidRPr="001E74A2">
        <w:rPr>
          <w:rFonts w:ascii="Times New Roman" w:hAnsi="Times New Roman"/>
          <w:lang w:val="sr-Latn-CS"/>
        </w:rPr>
        <w:t>,</w:t>
      </w:r>
      <w:r>
        <w:rPr>
          <w:rFonts w:ascii="Times New Roman" w:hAnsi="Times New Roman"/>
          <w:lang w:val="sr-Latn-CS"/>
        </w:rPr>
        <w:t xml:space="preserve"> July </w:t>
      </w:r>
      <w:r w:rsidRPr="001E74A2">
        <w:rPr>
          <w:rFonts w:ascii="Times New Roman" w:hAnsi="Times New Roman"/>
          <w:lang w:val="sr-Cyrl-RS"/>
        </w:rPr>
        <w:t>10</w:t>
      </w:r>
      <w:r>
        <w:rPr>
          <w:rFonts w:ascii="Times New Roman" w:hAnsi="Times New Roman"/>
        </w:rPr>
        <w:t xml:space="preserve">, </w:t>
      </w:r>
      <w:r w:rsidRPr="001E74A2">
        <w:rPr>
          <w:rFonts w:ascii="Times New Roman" w:hAnsi="Times New Roman"/>
          <w:lang w:val="sr-Latn-CS"/>
        </w:rPr>
        <w:t>20</w:t>
      </w:r>
      <w:r w:rsidRPr="001E74A2">
        <w:rPr>
          <w:rFonts w:ascii="Times New Roman" w:hAnsi="Times New Roman"/>
          <w:lang w:val="sr-Cyrl-RS"/>
        </w:rPr>
        <w:t>20</w:t>
      </w:r>
    </w:p>
    <w:p w14:paraId="306DB3BD" w14:textId="77777777" w:rsidR="004A2704" w:rsidRPr="001E74A2" w:rsidRDefault="004A2704" w:rsidP="004A2704">
      <w:pPr>
        <w:rPr>
          <w:rFonts w:ascii="Times New Roman" w:hAnsi="Times New Roman"/>
        </w:rPr>
      </w:pPr>
    </w:p>
    <w:p w14:paraId="7B952B1B" w14:textId="74FFE0B7" w:rsidR="004A2704" w:rsidRPr="004A2704" w:rsidRDefault="004A2704" w:rsidP="004A2704">
      <w:pPr>
        <w:pStyle w:val="1tekst"/>
        <w:spacing w:before="0" w:after="0"/>
        <w:ind w:hanging="26"/>
        <w:jc w:val="center"/>
        <w:rPr>
          <w:spacing w:val="40"/>
          <w:szCs w:val="24"/>
        </w:rPr>
      </w:pPr>
      <w:r>
        <w:rPr>
          <w:spacing w:val="40"/>
          <w:szCs w:val="24"/>
        </w:rPr>
        <w:t>GOVERNMENT</w:t>
      </w:r>
    </w:p>
    <w:p w14:paraId="24A395A9" w14:textId="77777777" w:rsidR="004A2704" w:rsidRPr="001E74A2" w:rsidRDefault="004A2704" w:rsidP="004A2704">
      <w:pPr>
        <w:pStyle w:val="1tekst"/>
        <w:spacing w:before="0" w:after="0"/>
        <w:ind w:hanging="26"/>
        <w:jc w:val="center"/>
        <w:rPr>
          <w:spacing w:val="40"/>
          <w:szCs w:val="24"/>
          <w:lang w:val="sr-Cyrl-CS"/>
        </w:rPr>
      </w:pPr>
    </w:p>
    <w:tbl>
      <w:tblPr>
        <w:tblW w:w="0" w:type="auto"/>
        <w:tblLayout w:type="fixed"/>
        <w:tblLook w:val="0000" w:firstRow="0" w:lastRow="0" w:firstColumn="0" w:lastColumn="0" w:noHBand="0" w:noVBand="0"/>
      </w:tblPr>
      <w:tblGrid>
        <w:gridCol w:w="4360"/>
        <w:gridCol w:w="4360"/>
      </w:tblGrid>
      <w:tr w:rsidR="004A2704" w:rsidRPr="00F06C8E" w14:paraId="0202C556" w14:textId="77777777" w:rsidTr="001A2ADD">
        <w:tc>
          <w:tcPr>
            <w:tcW w:w="4360" w:type="dxa"/>
          </w:tcPr>
          <w:p w14:paraId="32B128C5" w14:textId="77777777" w:rsidR="004A2704" w:rsidRPr="00F06C8E" w:rsidRDefault="004A2704" w:rsidP="001A2ADD">
            <w:pPr>
              <w:jc w:val="center"/>
              <w:rPr>
                <w:rFonts w:ascii="Times New Roman" w:hAnsi="Times New Roman"/>
                <w:lang w:val="ru-RU"/>
              </w:rPr>
            </w:pPr>
          </w:p>
        </w:tc>
        <w:tc>
          <w:tcPr>
            <w:tcW w:w="4360" w:type="dxa"/>
          </w:tcPr>
          <w:p w14:paraId="5175E622" w14:textId="77777777" w:rsidR="004A2704" w:rsidRDefault="004A2704" w:rsidP="001A2ADD">
            <w:pPr>
              <w:jc w:val="center"/>
              <w:rPr>
                <w:rFonts w:ascii="Times New Roman" w:hAnsi="Times New Roman"/>
                <w:lang w:val="ru-RU"/>
              </w:rPr>
            </w:pPr>
          </w:p>
          <w:p w14:paraId="330A74A7" w14:textId="07BEEBF8" w:rsidR="004A2704" w:rsidRPr="004A2704" w:rsidRDefault="004A2704" w:rsidP="001A2ADD">
            <w:pPr>
              <w:jc w:val="center"/>
              <w:rPr>
                <w:rFonts w:ascii="Times New Roman" w:hAnsi="Times New Roman"/>
              </w:rPr>
            </w:pPr>
            <w:r>
              <w:rPr>
                <w:rFonts w:ascii="Times New Roman" w:hAnsi="Times New Roman"/>
              </w:rPr>
              <w:t>PRESIDENT</w:t>
            </w:r>
          </w:p>
          <w:p w14:paraId="3329FD64" w14:textId="77777777" w:rsidR="004A2704" w:rsidRPr="00F06C8E" w:rsidRDefault="004A2704" w:rsidP="001A2ADD">
            <w:pPr>
              <w:rPr>
                <w:rFonts w:ascii="Times New Roman" w:hAnsi="Times New Roman"/>
                <w:lang w:val="sr-Cyrl-CS"/>
              </w:rPr>
            </w:pPr>
          </w:p>
          <w:p w14:paraId="6CEAAD2F" w14:textId="719F2431" w:rsidR="004A2704" w:rsidRPr="004A2704" w:rsidRDefault="004A2704" w:rsidP="001A2ADD">
            <w:pPr>
              <w:pStyle w:val="Footer"/>
              <w:jc w:val="center"/>
              <w:rPr>
                <w:rFonts w:ascii="Times New Roman" w:hAnsi="Times New Roman"/>
                <w:lang w:val="sr-Latn-RS"/>
              </w:rPr>
            </w:pPr>
            <w:r>
              <w:rPr>
                <w:rFonts w:ascii="Times New Roman" w:hAnsi="Times New Roman"/>
              </w:rPr>
              <w:t xml:space="preserve">Ana </w:t>
            </w:r>
            <w:proofErr w:type="spellStart"/>
            <w:r>
              <w:rPr>
                <w:rFonts w:ascii="Times New Roman" w:hAnsi="Times New Roman"/>
              </w:rPr>
              <w:t>Brnabic</w:t>
            </w:r>
            <w:proofErr w:type="spellEnd"/>
          </w:p>
        </w:tc>
      </w:tr>
    </w:tbl>
    <w:p w14:paraId="033073E8" w14:textId="43867B2A" w:rsidR="004A2704" w:rsidRPr="004A2704" w:rsidRDefault="004A2704" w:rsidP="004A2704">
      <w:pPr>
        <w:sectPr w:rsidR="004A2704" w:rsidRPr="004A2704" w:rsidSect="008A5366">
          <w:pgSz w:w="12240" w:h="15840"/>
          <w:pgMar w:top="1440" w:right="1440" w:bottom="1440" w:left="1440" w:header="720" w:footer="720" w:gutter="0"/>
          <w:cols w:space="720"/>
          <w:docGrid w:linePitch="360"/>
        </w:sectPr>
      </w:pPr>
    </w:p>
    <w:p w14:paraId="74DB2F05" w14:textId="77777777" w:rsidR="00011441" w:rsidRPr="00600AFD" w:rsidRDefault="008402C4" w:rsidP="007B117D">
      <w:pPr>
        <w:pStyle w:val="Heading1"/>
        <w:numPr>
          <w:ilvl w:val="0"/>
          <w:numId w:val="13"/>
        </w:numPr>
        <w:ind w:left="1418" w:hanging="851"/>
        <w:rPr>
          <w:rFonts w:ascii="Times New Roman" w:hAnsi="Times New Roman"/>
          <w:sz w:val="24"/>
        </w:rPr>
      </w:pPr>
      <w:bookmarkStart w:id="21" w:name="_Toc39707759"/>
      <w:r w:rsidRPr="00600AFD">
        <w:rPr>
          <w:rFonts w:ascii="Times New Roman" w:hAnsi="Times New Roman"/>
          <w:sz w:val="24"/>
        </w:rPr>
        <w:lastRenderedPageBreak/>
        <w:t xml:space="preserve">ANNEX </w:t>
      </w:r>
      <w:r w:rsidR="00011441" w:rsidRPr="00600AFD">
        <w:rPr>
          <w:rFonts w:ascii="Times New Roman" w:hAnsi="Times New Roman"/>
          <w:sz w:val="24"/>
        </w:rPr>
        <w:t>I –</w:t>
      </w:r>
      <w:r w:rsidRPr="00600AFD">
        <w:rPr>
          <w:rFonts w:ascii="Times New Roman" w:hAnsi="Times New Roman"/>
          <w:sz w:val="24"/>
        </w:rPr>
        <w:t xml:space="preserve"> LITERATURE AND SOURCES</w:t>
      </w:r>
      <w:bookmarkEnd w:id="21"/>
    </w:p>
    <w:p w14:paraId="17A7C550" w14:textId="77777777" w:rsidR="008430CF" w:rsidRPr="00600AFD" w:rsidRDefault="008402C4" w:rsidP="007B117D">
      <w:pPr>
        <w:pStyle w:val="FootnoteText"/>
        <w:numPr>
          <w:ilvl w:val="0"/>
          <w:numId w:val="1"/>
        </w:numPr>
        <w:ind w:left="426" w:hanging="426"/>
        <w:rPr>
          <w:rFonts w:ascii="Times New Roman" w:hAnsi="Times New Roman" w:cs="Times New Roman"/>
          <w:b/>
          <w:sz w:val="24"/>
          <w:szCs w:val="24"/>
        </w:rPr>
      </w:pPr>
      <w:r w:rsidRPr="00600AFD">
        <w:rPr>
          <w:rFonts w:ascii="Times New Roman" w:hAnsi="Times New Roman" w:cs="Times New Roman"/>
          <w:b/>
          <w:sz w:val="24"/>
          <w:szCs w:val="24"/>
        </w:rPr>
        <w:t>Literature</w:t>
      </w:r>
    </w:p>
    <w:p w14:paraId="1A49473C" w14:textId="77777777" w:rsidR="003617B3" w:rsidRPr="00600AFD" w:rsidRDefault="003617B3" w:rsidP="007B117D">
      <w:pPr>
        <w:pStyle w:val="FootnoteText"/>
        <w:ind w:left="426" w:hanging="426"/>
        <w:rPr>
          <w:rFonts w:ascii="Times New Roman" w:hAnsi="Times New Roman" w:cs="Times New Roman"/>
          <w:b/>
          <w:sz w:val="24"/>
          <w:szCs w:val="24"/>
        </w:rPr>
      </w:pPr>
    </w:p>
    <w:p w14:paraId="083E92FB" w14:textId="77777777" w:rsidR="003617B3" w:rsidRPr="00600AFD" w:rsidRDefault="003617B3" w:rsidP="007B117D">
      <w:pPr>
        <w:pStyle w:val="FootnoteText"/>
        <w:numPr>
          <w:ilvl w:val="0"/>
          <w:numId w:val="4"/>
        </w:numPr>
        <w:ind w:left="426" w:hanging="426"/>
        <w:rPr>
          <w:rFonts w:ascii="Times New Roman" w:hAnsi="Times New Roman" w:cs="Times New Roman"/>
          <w:sz w:val="24"/>
          <w:szCs w:val="24"/>
        </w:rPr>
      </w:pPr>
      <w:proofErr w:type="spellStart"/>
      <w:r w:rsidRPr="00600AFD">
        <w:rPr>
          <w:rFonts w:ascii="Times New Roman" w:hAnsi="Times New Roman" w:cs="Times New Roman"/>
          <w:sz w:val="24"/>
          <w:szCs w:val="24"/>
        </w:rPr>
        <w:t>Varga</w:t>
      </w:r>
      <w:proofErr w:type="spellEnd"/>
      <w:r w:rsidRPr="00600AFD">
        <w:rPr>
          <w:rFonts w:ascii="Times New Roman" w:hAnsi="Times New Roman" w:cs="Times New Roman"/>
          <w:sz w:val="24"/>
          <w:szCs w:val="24"/>
        </w:rPr>
        <w:t xml:space="preserve">, I. (2009) </w:t>
      </w:r>
      <w:r w:rsidRPr="00600AFD">
        <w:rPr>
          <w:rFonts w:ascii="Times New Roman" w:hAnsi="Times New Roman" w:cs="Times New Roman"/>
          <w:i/>
          <w:iCs/>
          <w:sz w:val="24"/>
          <w:szCs w:val="24"/>
        </w:rPr>
        <w:t>Breach of the reasonable time requirement in Hungarian law and in the practice of the European Court of Human Rights</w:t>
      </w:r>
      <w:r w:rsidRPr="00600AFD">
        <w:rPr>
          <w:rFonts w:ascii="Times New Roman" w:hAnsi="Times New Roman" w:cs="Times New Roman"/>
          <w:sz w:val="24"/>
          <w:szCs w:val="24"/>
        </w:rPr>
        <w:t xml:space="preserve">, In: Michel </w:t>
      </w:r>
      <w:proofErr w:type="spellStart"/>
      <w:r w:rsidRPr="00600AFD">
        <w:rPr>
          <w:rFonts w:ascii="Times New Roman" w:hAnsi="Times New Roman" w:cs="Times New Roman"/>
          <w:sz w:val="24"/>
          <w:szCs w:val="24"/>
        </w:rPr>
        <w:t>Labori</w:t>
      </w:r>
      <w:proofErr w:type="spellEnd"/>
      <w:r w:rsidRPr="00600AFD">
        <w:rPr>
          <w:rFonts w:ascii="Times New Roman" w:hAnsi="Times New Roman" w:cs="Times New Roman"/>
          <w:sz w:val="24"/>
          <w:szCs w:val="24"/>
        </w:rPr>
        <w:t xml:space="preserve">, </w:t>
      </w:r>
      <w:proofErr w:type="spellStart"/>
      <w:r w:rsidRPr="00600AFD">
        <w:rPr>
          <w:rFonts w:ascii="Times New Roman" w:hAnsi="Times New Roman" w:cs="Times New Roman"/>
          <w:sz w:val="24"/>
          <w:szCs w:val="24"/>
        </w:rPr>
        <w:t>Heribert</w:t>
      </w:r>
      <w:proofErr w:type="spellEnd"/>
      <w:r w:rsidRPr="00600AFD">
        <w:rPr>
          <w:rFonts w:ascii="Times New Roman" w:hAnsi="Times New Roman" w:cs="Times New Roman"/>
          <w:sz w:val="24"/>
          <w:szCs w:val="24"/>
        </w:rPr>
        <w:t xml:space="preserve"> Franz </w:t>
      </w:r>
      <w:proofErr w:type="spellStart"/>
      <w:r w:rsidRPr="00600AFD">
        <w:rPr>
          <w:rFonts w:ascii="Times New Roman" w:hAnsi="Times New Roman" w:cs="Times New Roman"/>
          <w:sz w:val="24"/>
          <w:szCs w:val="24"/>
        </w:rPr>
        <w:t>Köck</w:t>
      </w:r>
      <w:proofErr w:type="spellEnd"/>
      <w:r w:rsidRPr="00600AFD">
        <w:rPr>
          <w:rFonts w:ascii="Times New Roman" w:hAnsi="Times New Roman" w:cs="Times New Roman"/>
          <w:sz w:val="24"/>
          <w:szCs w:val="24"/>
        </w:rPr>
        <w:t xml:space="preserve">, J.A.E. </w:t>
      </w:r>
      <w:proofErr w:type="spellStart"/>
      <w:r w:rsidRPr="00600AFD">
        <w:rPr>
          <w:rFonts w:ascii="Times New Roman" w:hAnsi="Times New Roman" w:cs="Times New Roman"/>
          <w:sz w:val="24"/>
          <w:szCs w:val="24"/>
        </w:rPr>
        <w:t>Vervaele</w:t>
      </w:r>
      <w:proofErr w:type="spellEnd"/>
      <w:r w:rsidRPr="00600AFD">
        <w:rPr>
          <w:rFonts w:ascii="Times New Roman" w:hAnsi="Times New Roman" w:cs="Times New Roman"/>
          <w:sz w:val="24"/>
          <w:szCs w:val="24"/>
        </w:rPr>
        <w:t xml:space="preserve"> (eds.) Annales Universitatis </w:t>
      </w:r>
      <w:proofErr w:type="spellStart"/>
      <w:r w:rsidRPr="00600AFD">
        <w:rPr>
          <w:rFonts w:ascii="Times New Roman" w:hAnsi="Times New Roman" w:cs="Times New Roman"/>
          <w:sz w:val="24"/>
          <w:szCs w:val="24"/>
        </w:rPr>
        <w:t>Apulensis</w:t>
      </w:r>
      <w:proofErr w:type="spellEnd"/>
      <w:r w:rsidRPr="00600AFD">
        <w:rPr>
          <w:rFonts w:ascii="Times New Roman" w:hAnsi="Times New Roman" w:cs="Times New Roman"/>
          <w:sz w:val="24"/>
          <w:szCs w:val="24"/>
        </w:rPr>
        <w:t xml:space="preserve">, Serie </w:t>
      </w:r>
      <w:proofErr w:type="spellStart"/>
      <w:r w:rsidRPr="00600AFD">
        <w:rPr>
          <w:rFonts w:ascii="Times New Roman" w:hAnsi="Times New Roman" w:cs="Times New Roman"/>
          <w:sz w:val="24"/>
          <w:szCs w:val="24"/>
        </w:rPr>
        <w:t>Jurisprudentia</w:t>
      </w:r>
      <w:proofErr w:type="spellEnd"/>
      <w:r w:rsidRPr="00600AFD">
        <w:rPr>
          <w:rFonts w:ascii="Times New Roman" w:hAnsi="Times New Roman" w:cs="Times New Roman"/>
          <w:sz w:val="24"/>
          <w:szCs w:val="24"/>
        </w:rPr>
        <w:t xml:space="preserve"> 2009</w:t>
      </w:r>
      <w:r w:rsidR="00CE34E8" w:rsidRPr="00600AFD">
        <w:rPr>
          <w:rFonts w:ascii="Times New Roman" w:hAnsi="Times New Roman" w:cs="Times New Roman"/>
          <w:sz w:val="24"/>
          <w:szCs w:val="24"/>
        </w:rPr>
        <w:t>.</w:t>
      </w:r>
    </w:p>
    <w:p w14:paraId="639953EA" w14:textId="6A90F26B" w:rsidR="00CE34E8" w:rsidRPr="00600AFD" w:rsidRDefault="00387338" w:rsidP="007B117D">
      <w:pPr>
        <w:pStyle w:val="ListParagraph"/>
        <w:numPr>
          <w:ilvl w:val="0"/>
          <w:numId w:val="4"/>
        </w:numPr>
        <w:spacing w:after="0" w:line="276" w:lineRule="auto"/>
        <w:ind w:left="426" w:hanging="426"/>
        <w:rPr>
          <w:rFonts w:ascii="Times New Roman" w:hAnsi="Times New Roman" w:cs="Times New Roman"/>
          <w:szCs w:val="24"/>
        </w:rPr>
      </w:pPr>
      <w:r w:rsidRPr="00600AFD">
        <w:rPr>
          <w:rFonts w:ascii="Times New Roman" w:hAnsi="Times New Roman" w:cs="Times New Roman"/>
          <w:szCs w:val="24"/>
        </w:rPr>
        <w:t>Screening Report for Chapter 23</w:t>
      </w:r>
      <w:r w:rsidR="00CE34E8" w:rsidRPr="00600AFD">
        <w:rPr>
          <w:rFonts w:ascii="Times New Roman" w:hAnsi="Times New Roman" w:cs="Times New Roman"/>
          <w:szCs w:val="24"/>
        </w:rPr>
        <w:t>,</w:t>
      </w:r>
      <w:r w:rsidRPr="00600AFD">
        <w:rPr>
          <w:rFonts w:ascii="Times New Roman" w:hAnsi="Times New Roman" w:cs="Times New Roman"/>
          <w:szCs w:val="24"/>
        </w:rPr>
        <w:t xml:space="preserve"> available at:</w:t>
      </w:r>
      <w:r w:rsidR="00CE34E8" w:rsidRPr="00600AFD">
        <w:rPr>
          <w:rFonts w:ascii="Times New Roman" w:hAnsi="Times New Roman" w:cs="Times New Roman"/>
          <w:szCs w:val="24"/>
        </w:rPr>
        <w:t xml:space="preserve"> </w:t>
      </w:r>
      <w:hyperlink r:id="rId12" w:history="1">
        <w:r w:rsidR="00240EFA" w:rsidRPr="00600AFD">
          <w:rPr>
            <w:rStyle w:val="Hyperlink"/>
            <w:rFonts w:ascii="Times New Roman" w:hAnsi="Times New Roman"/>
            <w:szCs w:val="24"/>
          </w:rPr>
          <w:t>https://www.mpravde.gov.rs/tekst/ 7073/</w:t>
        </w:r>
        <w:proofErr w:type="spellStart"/>
        <w:r w:rsidR="00240EFA" w:rsidRPr="00600AFD">
          <w:rPr>
            <w:rStyle w:val="Hyperlink"/>
            <w:rFonts w:ascii="Times New Roman" w:hAnsi="Times New Roman"/>
            <w:szCs w:val="24"/>
          </w:rPr>
          <w:t>izvestaj</w:t>
        </w:r>
        <w:proofErr w:type="spellEnd"/>
        <w:r w:rsidR="000F3999">
          <w:rPr>
            <w:rStyle w:val="Hyperlink"/>
            <w:rFonts w:ascii="Times New Roman" w:hAnsi="Times New Roman"/>
            <w:szCs w:val="24"/>
          </w:rPr>
          <w:t>–</w:t>
        </w:r>
        <w:r w:rsidR="00240EFA" w:rsidRPr="00600AFD">
          <w:rPr>
            <w:rStyle w:val="Hyperlink"/>
            <w:rFonts w:ascii="Times New Roman" w:hAnsi="Times New Roman"/>
            <w:szCs w:val="24"/>
          </w:rPr>
          <w:t>o</w:t>
        </w:r>
        <w:r w:rsidR="000F3999">
          <w:rPr>
            <w:rStyle w:val="Hyperlink"/>
            <w:rFonts w:ascii="Times New Roman" w:hAnsi="Times New Roman"/>
            <w:szCs w:val="24"/>
          </w:rPr>
          <w:t>–</w:t>
        </w:r>
        <w:proofErr w:type="spellStart"/>
        <w:r w:rsidR="00240EFA" w:rsidRPr="00600AFD">
          <w:rPr>
            <w:rStyle w:val="Hyperlink"/>
            <w:rFonts w:ascii="Times New Roman" w:hAnsi="Times New Roman"/>
            <w:szCs w:val="24"/>
          </w:rPr>
          <w:t>skriningu.php</w:t>
        </w:r>
        <w:proofErr w:type="spellEnd"/>
      </w:hyperlink>
      <w:r w:rsidR="00CE34E8" w:rsidRPr="00600AFD">
        <w:rPr>
          <w:rFonts w:ascii="Times New Roman" w:hAnsi="Times New Roman" w:cs="Times New Roman"/>
          <w:szCs w:val="24"/>
        </w:rPr>
        <w:t xml:space="preserve">, </w:t>
      </w:r>
      <w:r w:rsidR="00241BF7" w:rsidRPr="00600AFD">
        <w:rPr>
          <w:rFonts w:ascii="Times New Roman" w:hAnsi="Times New Roman" w:cs="Times New Roman"/>
          <w:szCs w:val="24"/>
        </w:rPr>
        <w:t>accessed</w:t>
      </w:r>
      <w:r w:rsidR="00CE34E8" w:rsidRPr="00600AFD">
        <w:rPr>
          <w:rFonts w:ascii="Times New Roman" w:hAnsi="Times New Roman" w:cs="Times New Roman"/>
          <w:szCs w:val="24"/>
        </w:rPr>
        <w:t xml:space="preserve"> </w:t>
      </w:r>
      <w:r w:rsidR="00240EFA" w:rsidRPr="00600AFD">
        <w:rPr>
          <w:rFonts w:ascii="Times New Roman" w:hAnsi="Times New Roman" w:cs="Times New Roman"/>
          <w:szCs w:val="24"/>
        </w:rPr>
        <w:t xml:space="preserve">June </w:t>
      </w:r>
      <w:r w:rsidR="00CE34E8" w:rsidRPr="00600AFD">
        <w:rPr>
          <w:rFonts w:ascii="Times New Roman" w:hAnsi="Times New Roman" w:cs="Times New Roman"/>
          <w:szCs w:val="24"/>
        </w:rPr>
        <w:t>25</w:t>
      </w:r>
      <w:r w:rsidR="00240EFA" w:rsidRPr="00600AFD">
        <w:rPr>
          <w:rFonts w:ascii="Times New Roman" w:hAnsi="Times New Roman" w:cs="Times New Roman"/>
          <w:szCs w:val="24"/>
        </w:rPr>
        <w:t>,</w:t>
      </w:r>
      <w:r w:rsidR="00CE34E8" w:rsidRPr="00600AFD">
        <w:rPr>
          <w:rFonts w:ascii="Times New Roman" w:hAnsi="Times New Roman" w:cs="Times New Roman"/>
          <w:szCs w:val="24"/>
        </w:rPr>
        <w:t xml:space="preserve"> 2018.</w:t>
      </w:r>
    </w:p>
    <w:p w14:paraId="0C3522B6" w14:textId="77777777" w:rsidR="003617B3" w:rsidRPr="00600AFD" w:rsidRDefault="003617B3" w:rsidP="007B117D">
      <w:pPr>
        <w:pStyle w:val="FootnoteText"/>
        <w:numPr>
          <w:ilvl w:val="0"/>
          <w:numId w:val="4"/>
        </w:numPr>
        <w:ind w:left="426" w:hanging="426"/>
        <w:rPr>
          <w:rFonts w:ascii="Times New Roman" w:hAnsi="Times New Roman" w:cs="Times New Roman"/>
          <w:sz w:val="24"/>
          <w:szCs w:val="24"/>
        </w:rPr>
      </w:pPr>
      <w:proofErr w:type="spellStart"/>
      <w:r w:rsidRPr="00600AFD">
        <w:rPr>
          <w:rFonts w:ascii="Times New Roman" w:hAnsi="Times New Roman" w:cs="Times New Roman"/>
          <w:sz w:val="24"/>
          <w:szCs w:val="24"/>
        </w:rPr>
        <w:t>Calvez</w:t>
      </w:r>
      <w:proofErr w:type="spellEnd"/>
      <w:r w:rsidRPr="00600AFD">
        <w:rPr>
          <w:rFonts w:ascii="Times New Roman" w:hAnsi="Times New Roman" w:cs="Times New Roman"/>
          <w:sz w:val="24"/>
          <w:szCs w:val="24"/>
        </w:rPr>
        <w:t xml:space="preserve"> F. &amp; </w:t>
      </w:r>
      <w:proofErr w:type="spellStart"/>
      <w:r w:rsidRPr="00600AFD">
        <w:rPr>
          <w:rFonts w:ascii="Times New Roman" w:hAnsi="Times New Roman" w:cs="Times New Roman"/>
          <w:sz w:val="24"/>
          <w:szCs w:val="24"/>
        </w:rPr>
        <w:t>Régis</w:t>
      </w:r>
      <w:proofErr w:type="spellEnd"/>
      <w:r w:rsidRPr="00600AFD">
        <w:rPr>
          <w:rFonts w:ascii="Times New Roman" w:hAnsi="Times New Roman" w:cs="Times New Roman"/>
          <w:sz w:val="24"/>
          <w:szCs w:val="24"/>
        </w:rPr>
        <w:t xml:space="preserve">, N. (2012) </w:t>
      </w:r>
      <w:r w:rsidRPr="00600AFD">
        <w:rPr>
          <w:rFonts w:ascii="Times New Roman" w:hAnsi="Times New Roman" w:cs="Times New Roman"/>
          <w:i/>
          <w:iCs/>
          <w:sz w:val="24"/>
          <w:szCs w:val="24"/>
        </w:rPr>
        <w:t xml:space="preserve">Length of court proceedings in the member states of the Council of Europe based on the case law of the European Court of Human Rights, 2nd Edition, </w:t>
      </w:r>
      <w:r w:rsidRPr="00600AFD">
        <w:rPr>
          <w:rFonts w:ascii="Times New Roman" w:hAnsi="Times New Roman" w:cs="Times New Roman"/>
          <w:sz w:val="24"/>
          <w:szCs w:val="24"/>
        </w:rPr>
        <w:t>European Commission for the Efficiency of Justice (</w:t>
      </w:r>
      <w:r w:rsidRPr="00600AFD">
        <w:rPr>
          <w:rFonts w:ascii="Times New Roman" w:hAnsi="Times New Roman" w:cs="Times New Roman"/>
          <w:i/>
          <w:iCs/>
          <w:sz w:val="24"/>
          <w:szCs w:val="24"/>
        </w:rPr>
        <w:t>CEPEJ</w:t>
      </w:r>
      <w:r w:rsidRPr="00600AFD">
        <w:rPr>
          <w:rFonts w:ascii="Times New Roman" w:hAnsi="Times New Roman" w:cs="Times New Roman"/>
          <w:sz w:val="24"/>
          <w:szCs w:val="24"/>
        </w:rPr>
        <w:t>), Strasbourg.</w:t>
      </w:r>
    </w:p>
    <w:p w14:paraId="6D814667" w14:textId="77777777" w:rsidR="003617B3" w:rsidRPr="00600AFD" w:rsidRDefault="003617B3" w:rsidP="007B117D">
      <w:pPr>
        <w:pStyle w:val="FootnoteText"/>
        <w:ind w:left="426" w:hanging="426"/>
        <w:rPr>
          <w:rFonts w:ascii="Times New Roman" w:hAnsi="Times New Roman" w:cs="Times New Roman"/>
          <w:b/>
          <w:sz w:val="24"/>
          <w:szCs w:val="24"/>
        </w:rPr>
      </w:pPr>
    </w:p>
    <w:p w14:paraId="1376D6A8" w14:textId="77777777" w:rsidR="003626E6" w:rsidRPr="00600AFD" w:rsidRDefault="00241BF7" w:rsidP="007B117D">
      <w:pPr>
        <w:pStyle w:val="FootnoteText"/>
        <w:numPr>
          <w:ilvl w:val="0"/>
          <w:numId w:val="1"/>
        </w:numPr>
        <w:ind w:left="426" w:hanging="426"/>
        <w:rPr>
          <w:rFonts w:ascii="Times New Roman" w:hAnsi="Times New Roman" w:cs="Times New Roman"/>
          <w:b/>
          <w:sz w:val="24"/>
          <w:szCs w:val="24"/>
        </w:rPr>
      </w:pPr>
      <w:r w:rsidRPr="00600AFD">
        <w:rPr>
          <w:rFonts w:ascii="Times New Roman" w:hAnsi="Times New Roman" w:cs="Times New Roman"/>
          <w:b/>
          <w:sz w:val="24"/>
          <w:szCs w:val="24"/>
        </w:rPr>
        <w:t>Strategic documents and regulations</w:t>
      </w:r>
    </w:p>
    <w:p w14:paraId="51159A9C" w14:textId="77777777" w:rsidR="00957B33" w:rsidRPr="00600AFD" w:rsidRDefault="00957B33" w:rsidP="007B117D">
      <w:pPr>
        <w:pStyle w:val="FootnoteText"/>
        <w:ind w:left="426" w:hanging="426"/>
        <w:rPr>
          <w:rFonts w:ascii="Times New Roman" w:hAnsi="Times New Roman" w:cs="Times New Roman"/>
          <w:b/>
          <w:sz w:val="24"/>
          <w:szCs w:val="24"/>
        </w:rPr>
      </w:pPr>
    </w:p>
    <w:p w14:paraId="44D939A0" w14:textId="6E23FA2A" w:rsidR="00364709" w:rsidRPr="00600AFD" w:rsidRDefault="009A31D8" w:rsidP="007B117D">
      <w:pPr>
        <w:pStyle w:val="FootnoteText"/>
        <w:numPr>
          <w:ilvl w:val="0"/>
          <w:numId w:val="9"/>
        </w:numPr>
        <w:suppressAutoHyphens/>
        <w:spacing w:line="276" w:lineRule="auto"/>
        <w:ind w:left="426" w:hanging="426"/>
        <w:rPr>
          <w:rFonts w:ascii="Times New Roman" w:hAnsi="Times New Roman" w:cs="Times New Roman"/>
          <w:sz w:val="24"/>
          <w:szCs w:val="24"/>
        </w:rPr>
      </w:pPr>
      <w:r w:rsidRPr="00600AFD">
        <w:rPr>
          <w:rFonts w:ascii="Times New Roman" w:hAnsi="Times New Roman" w:cs="Times New Roman"/>
          <w:sz w:val="24"/>
          <w:szCs w:val="24"/>
        </w:rPr>
        <w:t>Agency for the fight against the corruption</w:t>
      </w:r>
      <w:r w:rsidR="00364709" w:rsidRPr="00600AFD">
        <w:rPr>
          <w:rFonts w:ascii="Times New Roman" w:hAnsi="Times New Roman" w:cs="Times New Roman"/>
          <w:sz w:val="24"/>
          <w:szCs w:val="24"/>
        </w:rPr>
        <w:t xml:space="preserve"> (2012): </w:t>
      </w:r>
      <w:r w:rsidRPr="00600AFD">
        <w:rPr>
          <w:rFonts w:ascii="Times New Roman" w:hAnsi="Times New Roman" w:cs="Times New Roman"/>
          <w:sz w:val="24"/>
          <w:szCs w:val="24"/>
        </w:rPr>
        <w:t xml:space="preserve">The Manual for developing integrity plans </w:t>
      </w:r>
      <w:r w:rsidR="00D41B58" w:rsidRPr="00600AFD">
        <w:rPr>
          <w:rFonts w:ascii="Times New Roman" w:hAnsi="Times New Roman" w:cs="Times New Roman"/>
          <w:sz w:val="24"/>
          <w:szCs w:val="24"/>
        </w:rPr>
        <w:t>(</w:t>
      </w:r>
      <w:proofErr w:type="spellStart"/>
      <w:r w:rsidR="00D04412" w:rsidRPr="00600AFD">
        <w:rPr>
          <w:rFonts w:ascii="Times New Roman" w:hAnsi="Times New Roman" w:cs="Times New Roman"/>
          <w:sz w:val="24"/>
          <w:szCs w:val="24"/>
        </w:rPr>
        <w:t>Приручник</w:t>
      </w:r>
      <w:proofErr w:type="spellEnd"/>
      <w:r w:rsidR="00D04412" w:rsidRPr="00600AFD">
        <w:rPr>
          <w:rFonts w:ascii="Times New Roman" w:hAnsi="Times New Roman" w:cs="Times New Roman"/>
          <w:sz w:val="24"/>
          <w:szCs w:val="24"/>
        </w:rPr>
        <w:t xml:space="preserve"> </w:t>
      </w:r>
      <w:proofErr w:type="spellStart"/>
      <w:r w:rsidR="00D04412" w:rsidRPr="00600AFD">
        <w:rPr>
          <w:rFonts w:ascii="Times New Roman" w:hAnsi="Times New Roman" w:cs="Times New Roman"/>
          <w:sz w:val="24"/>
          <w:szCs w:val="24"/>
        </w:rPr>
        <w:t>за</w:t>
      </w:r>
      <w:proofErr w:type="spellEnd"/>
      <w:r w:rsidR="00D04412" w:rsidRPr="00600AFD">
        <w:rPr>
          <w:rFonts w:ascii="Times New Roman" w:hAnsi="Times New Roman" w:cs="Times New Roman"/>
          <w:sz w:val="24"/>
          <w:szCs w:val="24"/>
        </w:rPr>
        <w:t xml:space="preserve"> </w:t>
      </w:r>
      <w:proofErr w:type="spellStart"/>
      <w:r w:rsidR="00D04412" w:rsidRPr="00600AFD">
        <w:rPr>
          <w:rFonts w:ascii="Times New Roman" w:hAnsi="Times New Roman" w:cs="Times New Roman"/>
          <w:sz w:val="24"/>
          <w:szCs w:val="24"/>
        </w:rPr>
        <w:t>израду</w:t>
      </w:r>
      <w:proofErr w:type="spellEnd"/>
      <w:r w:rsidR="00D04412" w:rsidRPr="00600AFD">
        <w:rPr>
          <w:rFonts w:ascii="Times New Roman" w:hAnsi="Times New Roman" w:cs="Times New Roman"/>
          <w:sz w:val="24"/>
          <w:szCs w:val="24"/>
        </w:rPr>
        <w:t xml:space="preserve"> </w:t>
      </w:r>
      <w:proofErr w:type="spellStart"/>
      <w:r w:rsidR="00D04412" w:rsidRPr="00600AFD">
        <w:rPr>
          <w:rFonts w:ascii="Times New Roman" w:hAnsi="Times New Roman" w:cs="Times New Roman"/>
          <w:sz w:val="24"/>
          <w:szCs w:val="24"/>
        </w:rPr>
        <w:t>плана</w:t>
      </w:r>
      <w:proofErr w:type="spellEnd"/>
      <w:r w:rsidR="00D04412" w:rsidRPr="00600AFD">
        <w:rPr>
          <w:rFonts w:ascii="Times New Roman" w:hAnsi="Times New Roman" w:cs="Times New Roman"/>
          <w:sz w:val="24"/>
          <w:szCs w:val="24"/>
        </w:rPr>
        <w:t xml:space="preserve"> </w:t>
      </w:r>
      <w:proofErr w:type="spellStart"/>
      <w:r w:rsidR="00D04412" w:rsidRPr="00600AFD">
        <w:rPr>
          <w:rFonts w:ascii="Times New Roman" w:hAnsi="Times New Roman" w:cs="Times New Roman"/>
          <w:sz w:val="24"/>
          <w:szCs w:val="24"/>
        </w:rPr>
        <w:t>интегритета</w:t>
      </w:r>
      <w:proofErr w:type="spellEnd"/>
      <w:r w:rsidR="00D41B58" w:rsidRPr="00600AFD">
        <w:rPr>
          <w:rFonts w:ascii="Times New Roman" w:hAnsi="Times New Roman" w:cs="Times New Roman"/>
          <w:sz w:val="24"/>
          <w:szCs w:val="24"/>
        </w:rPr>
        <w:t>)</w:t>
      </w:r>
      <w:r w:rsidR="00D04412" w:rsidRPr="00600AFD">
        <w:rPr>
          <w:rFonts w:ascii="Times New Roman" w:hAnsi="Times New Roman" w:cs="Times New Roman"/>
          <w:sz w:val="24"/>
          <w:szCs w:val="24"/>
        </w:rPr>
        <w:t xml:space="preserve">, </w:t>
      </w:r>
      <w:r w:rsidR="00D41B58" w:rsidRPr="00600AFD">
        <w:rPr>
          <w:rFonts w:ascii="Times New Roman" w:hAnsi="Times New Roman" w:cs="Times New Roman"/>
          <w:sz w:val="24"/>
          <w:szCs w:val="24"/>
        </w:rPr>
        <w:t>p</w:t>
      </w:r>
      <w:r w:rsidR="00D04412" w:rsidRPr="00600AFD">
        <w:rPr>
          <w:rFonts w:ascii="Times New Roman" w:hAnsi="Times New Roman" w:cs="Times New Roman"/>
          <w:sz w:val="24"/>
          <w:szCs w:val="24"/>
        </w:rPr>
        <w:t xml:space="preserve">. 3, </w:t>
      </w:r>
      <w:r w:rsidR="00D41B58" w:rsidRPr="00600AFD">
        <w:rPr>
          <w:rFonts w:ascii="Times New Roman" w:hAnsi="Times New Roman" w:cs="Times New Roman"/>
          <w:sz w:val="24"/>
          <w:szCs w:val="24"/>
        </w:rPr>
        <w:t>available at</w:t>
      </w:r>
      <w:r w:rsidR="00364709" w:rsidRPr="00600AFD">
        <w:rPr>
          <w:rFonts w:ascii="Times New Roman" w:hAnsi="Times New Roman" w:cs="Times New Roman"/>
          <w:sz w:val="24"/>
          <w:szCs w:val="24"/>
        </w:rPr>
        <w:t xml:space="preserve">: </w:t>
      </w:r>
      <w:hyperlink r:id="rId13" w:history="1">
        <w:r w:rsidR="00D41B58" w:rsidRPr="00600AFD">
          <w:rPr>
            <w:rStyle w:val="Hyperlink"/>
            <w:rFonts w:ascii="Times New Roman" w:hAnsi="Times New Roman"/>
            <w:sz w:val="24"/>
            <w:szCs w:val="24"/>
          </w:rPr>
          <w:t>http://www.acas.rs/images/stories/Prirucnik_konacna_verzija.pdf</w:t>
        </w:r>
      </w:hyperlink>
      <w:r w:rsidR="00364709" w:rsidRPr="00600AFD">
        <w:rPr>
          <w:rFonts w:ascii="Times New Roman" w:hAnsi="Times New Roman" w:cs="Times New Roman"/>
          <w:sz w:val="24"/>
          <w:szCs w:val="24"/>
        </w:rPr>
        <w:t>,</w:t>
      </w:r>
      <w:r w:rsidR="00241BF7" w:rsidRPr="00600AFD">
        <w:rPr>
          <w:rFonts w:ascii="Times New Roman" w:hAnsi="Times New Roman" w:cs="Times New Roman"/>
          <w:sz w:val="24"/>
          <w:szCs w:val="24"/>
        </w:rPr>
        <w:t>accessed</w:t>
      </w:r>
      <w:r w:rsidR="00364709" w:rsidRPr="00600AFD">
        <w:rPr>
          <w:rFonts w:ascii="Times New Roman" w:hAnsi="Times New Roman" w:cs="Times New Roman"/>
          <w:sz w:val="24"/>
          <w:szCs w:val="24"/>
        </w:rPr>
        <w:t xml:space="preserve"> </w:t>
      </w:r>
      <w:r w:rsidR="00241BF7" w:rsidRPr="00600AFD">
        <w:rPr>
          <w:rFonts w:ascii="Times New Roman" w:hAnsi="Times New Roman" w:cs="Times New Roman"/>
          <w:sz w:val="24"/>
          <w:szCs w:val="24"/>
        </w:rPr>
        <w:t xml:space="preserve">February </w:t>
      </w:r>
      <w:r w:rsidR="00364709" w:rsidRPr="00600AFD">
        <w:rPr>
          <w:rFonts w:ascii="Times New Roman" w:hAnsi="Times New Roman" w:cs="Times New Roman"/>
          <w:sz w:val="24"/>
          <w:szCs w:val="24"/>
        </w:rPr>
        <w:t>2</w:t>
      </w:r>
      <w:r w:rsidR="00241BF7" w:rsidRPr="00600AFD">
        <w:rPr>
          <w:rFonts w:ascii="Times New Roman" w:hAnsi="Times New Roman" w:cs="Times New Roman"/>
          <w:sz w:val="24"/>
          <w:szCs w:val="24"/>
        </w:rPr>
        <w:t xml:space="preserve">, </w:t>
      </w:r>
      <w:r w:rsidR="00364709" w:rsidRPr="00600AFD">
        <w:rPr>
          <w:rFonts w:ascii="Times New Roman" w:hAnsi="Times New Roman" w:cs="Times New Roman"/>
          <w:sz w:val="24"/>
          <w:szCs w:val="24"/>
        </w:rPr>
        <w:t>2015.</w:t>
      </w:r>
    </w:p>
    <w:p w14:paraId="5C8478A1" w14:textId="760C01E8" w:rsidR="00364709" w:rsidRPr="00600AFD" w:rsidRDefault="00D41B58" w:rsidP="007B117D">
      <w:pPr>
        <w:pStyle w:val="ListParagraph"/>
        <w:numPr>
          <w:ilvl w:val="0"/>
          <w:numId w:val="9"/>
        </w:numPr>
        <w:spacing w:after="0" w:line="276" w:lineRule="auto"/>
        <w:ind w:left="426" w:hanging="426"/>
        <w:rPr>
          <w:rFonts w:ascii="Times New Roman" w:hAnsi="Times New Roman" w:cs="Times New Roman"/>
          <w:szCs w:val="24"/>
        </w:rPr>
      </w:pPr>
      <w:r w:rsidRPr="00600AFD">
        <w:rPr>
          <w:rFonts w:ascii="Times New Roman" w:hAnsi="Times New Roman" w:cs="Times New Roman"/>
          <w:szCs w:val="24"/>
        </w:rPr>
        <w:t>Action Plan for Chapter 23</w:t>
      </w:r>
      <w:r w:rsidR="00364709" w:rsidRPr="00600AFD">
        <w:rPr>
          <w:rFonts w:ascii="Times New Roman" w:hAnsi="Times New Roman" w:cs="Times New Roman"/>
          <w:szCs w:val="24"/>
        </w:rPr>
        <w:t xml:space="preserve">, </w:t>
      </w:r>
      <w:r w:rsidRPr="00600AFD">
        <w:rPr>
          <w:rFonts w:ascii="Times New Roman" w:hAnsi="Times New Roman" w:cs="Times New Roman"/>
          <w:szCs w:val="24"/>
        </w:rPr>
        <w:t>available at</w:t>
      </w:r>
      <w:r w:rsidR="00364709" w:rsidRPr="00600AFD">
        <w:rPr>
          <w:rFonts w:ascii="Times New Roman" w:hAnsi="Times New Roman" w:cs="Times New Roman"/>
          <w:szCs w:val="24"/>
        </w:rPr>
        <w:t xml:space="preserve">: </w:t>
      </w:r>
      <w:hyperlink r:id="rId14" w:history="1">
        <w:r w:rsidR="00CA34EA" w:rsidRPr="00600AFD">
          <w:rPr>
            <w:rStyle w:val="Hyperlink"/>
            <w:rFonts w:ascii="Times New Roman" w:hAnsi="Times New Roman"/>
            <w:szCs w:val="24"/>
          </w:rPr>
          <w:t>https://www.mpravde.gov.rs/tekst/ 12647/akcioni</w:t>
        </w:r>
        <w:r w:rsidR="000F3999">
          <w:rPr>
            <w:rStyle w:val="Hyperlink"/>
            <w:rFonts w:ascii="Times New Roman" w:hAnsi="Times New Roman"/>
            <w:szCs w:val="24"/>
          </w:rPr>
          <w:t>–</w:t>
        </w:r>
        <w:r w:rsidR="00CA34EA" w:rsidRPr="00600AFD">
          <w:rPr>
            <w:rStyle w:val="Hyperlink"/>
            <w:rFonts w:ascii="Times New Roman" w:hAnsi="Times New Roman"/>
            <w:szCs w:val="24"/>
          </w:rPr>
          <w:t>plan</w:t>
        </w:r>
        <w:r w:rsidR="000F3999">
          <w:rPr>
            <w:rStyle w:val="Hyperlink"/>
            <w:rFonts w:ascii="Times New Roman" w:hAnsi="Times New Roman"/>
            <w:szCs w:val="24"/>
          </w:rPr>
          <w:t>–</w:t>
        </w:r>
        <w:r w:rsidR="00CA34EA" w:rsidRPr="00600AFD">
          <w:rPr>
            <w:rStyle w:val="Hyperlink"/>
            <w:rFonts w:ascii="Times New Roman" w:hAnsi="Times New Roman"/>
            <w:szCs w:val="24"/>
          </w:rPr>
          <w:t>za</w:t>
        </w:r>
        <w:r w:rsidR="000F3999">
          <w:rPr>
            <w:rStyle w:val="Hyperlink"/>
            <w:rFonts w:ascii="Times New Roman" w:hAnsi="Times New Roman"/>
            <w:szCs w:val="24"/>
          </w:rPr>
          <w:t>–</w:t>
        </w:r>
        <w:r w:rsidR="00CA34EA" w:rsidRPr="00600AFD">
          <w:rPr>
            <w:rStyle w:val="Hyperlink"/>
            <w:rFonts w:ascii="Times New Roman" w:hAnsi="Times New Roman"/>
            <w:szCs w:val="24"/>
          </w:rPr>
          <w:t>pregovaranje</w:t>
        </w:r>
        <w:r w:rsidR="000F3999">
          <w:rPr>
            <w:rStyle w:val="Hyperlink"/>
            <w:rFonts w:ascii="Times New Roman" w:hAnsi="Times New Roman"/>
            <w:szCs w:val="24"/>
          </w:rPr>
          <w:t>–</w:t>
        </w:r>
        <w:r w:rsidR="00CA34EA" w:rsidRPr="00600AFD">
          <w:rPr>
            <w:rStyle w:val="Hyperlink"/>
            <w:rFonts w:ascii="Times New Roman" w:hAnsi="Times New Roman"/>
            <w:szCs w:val="24"/>
          </w:rPr>
          <w:t>poglavlja</w:t>
        </w:r>
        <w:r w:rsidR="000F3999">
          <w:rPr>
            <w:rStyle w:val="Hyperlink"/>
            <w:rFonts w:ascii="Times New Roman" w:hAnsi="Times New Roman"/>
            <w:szCs w:val="24"/>
          </w:rPr>
          <w:t>–</w:t>
        </w:r>
        <w:r w:rsidR="00CA34EA" w:rsidRPr="00600AFD">
          <w:rPr>
            <w:rStyle w:val="Hyperlink"/>
            <w:rFonts w:ascii="Times New Roman" w:hAnsi="Times New Roman"/>
            <w:szCs w:val="24"/>
          </w:rPr>
          <w:t>23</w:t>
        </w:r>
        <w:r w:rsidR="000F3999">
          <w:rPr>
            <w:rStyle w:val="Hyperlink"/>
            <w:rFonts w:ascii="Times New Roman" w:hAnsi="Times New Roman"/>
            <w:szCs w:val="24"/>
          </w:rPr>
          <w:t>–</w:t>
        </w:r>
        <w:r w:rsidR="00CA34EA" w:rsidRPr="00600AFD">
          <w:rPr>
            <w:rStyle w:val="Hyperlink"/>
            <w:rFonts w:ascii="Times New Roman" w:hAnsi="Times New Roman"/>
            <w:szCs w:val="24"/>
          </w:rPr>
          <w:t>usvojen</w:t>
        </w:r>
        <w:r w:rsidR="000F3999">
          <w:rPr>
            <w:rStyle w:val="Hyperlink"/>
            <w:rFonts w:ascii="Times New Roman" w:hAnsi="Times New Roman"/>
            <w:szCs w:val="24"/>
          </w:rPr>
          <w:t>–</w:t>
        </w:r>
        <w:r w:rsidR="00CA34EA" w:rsidRPr="00600AFD">
          <w:rPr>
            <w:rStyle w:val="Hyperlink"/>
            <w:rFonts w:ascii="Times New Roman" w:hAnsi="Times New Roman"/>
            <w:szCs w:val="24"/>
          </w:rPr>
          <w:t>na</w:t>
        </w:r>
        <w:r w:rsidR="000F3999">
          <w:rPr>
            <w:rStyle w:val="Hyperlink"/>
            <w:rFonts w:ascii="Times New Roman" w:hAnsi="Times New Roman"/>
            <w:szCs w:val="24"/>
          </w:rPr>
          <w:t>–</w:t>
        </w:r>
        <w:r w:rsidR="00CA34EA" w:rsidRPr="00600AFD">
          <w:rPr>
            <w:rStyle w:val="Hyperlink"/>
            <w:rFonts w:ascii="Times New Roman" w:hAnsi="Times New Roman"/>
            <w:szCs w:val="24"/>
          </w:rPr>
          <w:t>sednici</w:t>
        </w:r>
        <w:r w:rsidR="000F3999">
          <w:rPr>
            <w:rStyle w:val="Hyperlink"/>
            <w:rFonts w:ascii="Times New Roman" w:hAnsi="Times New Roman"/>
            <w:szCs w:val="24"/>
          </w:rPr>
          <w:t>–</w:t>
        </w:r>
        <w:r w:rsidR="00CA34EA" w:rsidRPr="00600AFD">
          <w:rPr>
            <w:rStyle w:val="Hyperlink"/>
            <w:rFonts w:ascii="Times New Roman" w:hAnsi="Times New Roman"/>
            <w:szCs w:val="24"/>
          </w:rPr>
          <w:t>vlade</w:t>
        </w:r>
        <w:r w:rsidR="000F3999">
          <w:rPr>
            <w:rStyle w:val="Hyperlink"/>
            <w:rFonts w:ascii="Times New Roman" w:hAnsi="Times New Roman"/>
            <w:szCs w:val="24"/>
          </w:rPr>
          <w:t>–</w:t>
        </w:r>
        <w:r w:rsidR="00CA34EA" w:rsidRPr="00600AFD">
          <w:rPr>
            <w:rStyle w:val="Hyperlink"/>
            <w:rFonts w:ascii="Times New Roman" w:hAnsi="Times New Roman"/>
            <w:szCs w:val="24"/>
          </w:rPr>
          <w:t>srbije</w:t>
        </w:r>
        <w:r w:rsidR="000F3999">
          <w:rPr>
            <w:rStyle w:val="Hyperlink"/>
            <w:rFonts w:ascii="Times New Roman" w:hAnsi="Times New Roman"/>
            <w:szCs w:val="24"/>
          </w:rPr>
          <w:t>–</w:t>
        </w:r>
        <w:r w:rsidR="00CA34EA" w:rsidRPr="00600AFD">
          <w:rPr>
            <w:rStyle w:val="Hyperlink"/>
            <w:rFonts w:ascii="Times New Roman" w:hAnsi="Times New Roman"/>
            <w:szCs w:val="24"/>
          </w:rPr>
          <w:t>27</w:t>
        </w:r>
        <w:r w:rsidR="000F3999">
          <w:rPr>
            <w:rStyle w:val="Hyperlink"/>
            <w:rFonts w:ascii="Times New Roman" w:hAnsi="Times New Roman"/>
            <w:szCs w:val="24"/>
          </w:rPr>
          <w:t>–</w:t>
        </w:r>
        <w:r w:rsidR="00CA34EA" w:rsidRPr="00600AFD">
          <w:rPr>
            <w:rStyle w:val="Hyperlink"/>
            <w:rFonts w:ascii="Times New Roman" w:hAnsi="Times New Roman"/>
            <w:szCs w:val="24"/>
          </w:rPr>
          <w:t>aprila</w:t>
        </w:r>
        <w:r w:rsidR="000F3999">
          <w:rPr>
            <w:rStyle w:val="Hyperlink"/>
            <w:rFonts w:ascii="Times New Roman" w:hAnsi="Times New Roman"/>
            <w:szCs w:val="24"/>
          </w:rPr>
          <w:t>–</w:t>
        </w:r>
        <w:r w:rsidR="00CA34EA" w:rsidRPr="00600AFD">
          <w:rPr>
            <w:rStyle w:val="Hyperlink"/>
            <w:rFonts w:ascii="Times New Roman" w:hAnsi="Times New Roman"/>
            <w:szCs w:val="24"/>
          </w:rPr>
          <w:t>2016.php</w:t>
        </w:r>
      </w:hyperlink>
      <w:r w:rsidR="00364709" w:rsidRPr="00600AFD">
        <w:rPr>
          <w:rFonts w:ascii="Times New Roman" w:hAnsi="Times New Roman" w:cs="Times New Roman"/>
          <w:szCs w:val="24"/>
        </w:rPr>
        <w:t xml:space="preserve">, </w:t>
      </w:r>
      <w:r w:rsidR="00241BF7" w:rsidRPr="00600AFD">
        <w:rPr>
          <w:rFonts w:ascii="Times New Roman" w:hAnsi="Times New Roman" w:cs="Times New Roman"/>
          <w:szCs w:val="24"/>
        </w:rPr>
        <w:t>accessed</w:t>
      </w:r>
      <w:r w:rsidR="00364709" w:rsidRPr="00600AFD">
        <w:rPr>
          <w:rFonts w:ascii="Times New Roman" w:hAnsi="Times New Roman" w:cs="Times New Roman"/>
          <w:szCs w:val="24"/>
        </w:rPr>
        <w:t xml:space="preserve"> </w:t>
      </w:r>
      <w:r w:rsidR="00EE4376" w:rsidRPr="00600AFD">
        <w:rPr>
          <w:rFonts w:ascii="Times New Roman" w:hAnsi="Times New Roman" w:cs="Times New Roman"/>
          <w:szCs w:val="24"/>
        </w:rPr>
        <w:t xml:space="preserve">June </w:t>
      </w:r>
      <w:r w:rsidR="00364709" w:rsidRPr="00600AFD">
        <w:rPr>
          <w:rFonts w:ascii="Times New Roman" w:hAnsi="Times New Roman" w:cs="Times New Roman"/>
          <w:szCs w:val="24"/>
        </w:rPr>
        <w:t>24</w:t>
      </w:r>
      <w:r w:rsidR="00EE4376" w:rsidRPr="00600AFD">
        <w:rPr>
          <w:rFonts w:ascii="Times New Roman" w:hAnsi="Times New Roman" w:cs="Times New Roman"/>
          <w:szCs w:val="24"/>
        </w:rPr>
        <w:t xml:space="preserve">, </w:t>
      </w:r>
      <w:r w:rsidR="00364709" w:rsidRPr="00600AFD">
        <w:rPr>
          <w:rFonts w:ascii="Times New Roman" w:hAnsi="Times New Roman" w:cs="Times New Roman"/>
          <w:szCs w:val="24"/>
        </w:rPr>
        <w:t xml:space="preserve">2018. </w:t>
      </w:r>
    </w:p>
    <w:p w14:paraId="61149998" w14:textId="5B851D58" w:rsidR="00364709" w:rsidRPr="00600AFD" w:rsidRDefault="00C658F4" w:rsidP="007B117D">
      <w:pPr>
        <w:pStyle w:val="ListParagraph"/>
        <w:numPr>
          <w:ilvl w:val="0"/>
          <w:numId w:val="9"/>
        </w:numPr>
        <w:spacing w:after="0" w:line="276" w:lineRule="auto"/>
        <w:ind w:left="426" w:hanging="426"/>
        <w:rPr>
          <w:rFonts w:ascii="Times New Roman" w:hAnsi="Times New Roman" w:cs="Times New Roman"/>
          <w:szCs w:val="24"/>
        </w:rPr>
      </w:pPr>
      <w:r w:rsidRPr="00600AFD">
        <w:rPr>
          <w:rFonts w:ascii="Times New Roman" w:hAnsi="Times New Roman" w:cs="Times New Roman"/>
          <w:szCs w:val="24"/>
        </w:rPr>
        <w:t xml:space="preserve">Action Plan for the Implementation of National Judicial Reform Strategy for </w:t>
      </w:r>
      <w:r w:rsidR="004D3991" w:rsidRPr="00600AFD">
        <w:rPr>
          <w:rFonts w:ascii="Times New Roman" w:hAnsi="Times New Roman" w:cs="Times New Roman"/>
          <w:szCs w:val="24"/>
        </w:rPr>
        <w:t>p</w:t>
      </w:r>
      <w:r w:rsidRPr="00600AFD">
        <w:rPr>
          <w:rFonts w:ascii="Times New Roman" w:hAnsi="Times New Roman" w:cs="Times New Roman"/>
          <w:szCs w:val="24"/>
        </w:rPr>
        <w:t xml:space="preserve">eriod </w:t>
      </w:r>
      <w:r w:rsidR="00364709" w:rsidRPr="00600AFD">
        <w:rPr>
          <w:rFonts w:ascii="Times New Roman" w:hAnsi="Times New Roman" w:cs="Times New Roman"/>
          <w:szCs w:val="24"/>
        </w:rPr>
        <w:t>2013</w:t>
      </w:r>
      <w:r w:rsidR="000F3999">
        <w:rPr>
          <w:rFonts w:ascii="Times New Roman" w:hAnsi="Times New Roman" w:cs="Times New Roman"/>
          <w:szCs w:val="24"/>
        </w:rPr>
        <w:t>–</w:t>
      </w:r>
      <w:r w:rsidR="00364709" w:rsidRPr="00600AFD">
        <w:rPr>
          <w:rFonts w:ascii="Times New Roman" w:hAnsi="Times New Roman" w:cs="Times New Roman"/>
          <w:szCs w:val="24"/>
        </w:rPr>
        <w:t>2018</w:t>
      </w:r>
      <w:proofErr w:type="gramStart"/>
      <w:r w:rsidR="00364709" w:rsidRPr="00600AFD">
        <w:rPr>
          <w:rFonts w:ascii="Times New Roman" w:hAnsi="Times New Roman" w:cs="Times New Roman"/>
          <w:szCs w:val="24"/>
        </w:rPr>
        <w:t>, ”</w:t>
      </w:r>
      <w:r w:rsidRPr="00600AFD">
        <w:rPr>
          <w:rFonts w:ascii="Times New Roman" w:hAnsi="Times New Roman" w:cs="Times New Roman"/>
          <w:szCs w:val="24"/>
        </w:rPr>
        <w:t>Official</w:t>
      </w:r>
      <w:proofErr w:type="gramEnd"/>
      <w:r w:rsidRPr="00600AFD">
        <w:rPr>
          <w:rFonts w:ascii="Times New Roman" w:hAnsi="Times New Roman" w:cs="Times New Roman"/>
          <w:szCs w:val="24"/>
        </w:rPr>
        <w:t xml:space="preserve"> Gazette of the Republic of Serbia</w:t>
      </w:r>
      <w:r w:rsidR="00364709" w:rsidRPr="00600AFD">
        <w:rPr>
          <w:rFonts w:ascii="Times New Roman" w:hAnsi="Times New Roman" w:cs="Times New Roman"/>
          <w:szCs w:val="24"/>
        </w:rPr>
        <w:t xml:space="preserve">”, </w:t>
      </w:r>
      <w:r w:rsidR="008D5D39" w:rsidRPr="00600AFD">
        <w:rPr>
          <w:rFonts w:ascii="Times New Roman" w:hAnsi="Times New Roman" w:cs="Times New Roman"/>
          <w:szCs w:val="24"/>
        </w:rPr>
        <w:t>n</w:t>
      </w:r>
      <w:r w:rsidRPr="00600AFD">
        <w:rPr>
          <w:rFonts w:ascii="Times New Roman" w:hAnsi="Times New Roman" w:cs="Times New Roman"/>
          <w:szCs w:val="24"/>
        </w:rPr>
        <w:t xml:space="preserve">o </w:t>
      </w:r>
      <w:r w:rsidR="00364709" w:rsidRPr="00600AFD">
        <w:rPr>
          <w:rFonts w:ascii="Times New Roman" w:hAnsi="Times New Roman" w:cs="Times New Roman"/>
          <w:szCs w:val="24"/>
        </w:rPr>
        <w:t>71/13.</w:t>
      </w:r>
    </w:p>
    <w:p w14:paraId="01D8244E" w14:textId="22CD6E71" w:rsidR="007A4135" w:rsidRPr="00600AFD" w:rsidRDefault="00C658F4" w:rsidP="004310D4">
      <w:pPr>
        <w:pStyle w:val="ListParagraph"/>
        <w:numPr>
          <w:ilvl w:val="0"/>
          <w:numId w:val="3"/>
        </w:numPr>
        <w:spacing w:before="240" w:after="240" w:line="276" w:lineRule="auto"/>
        <w:ind w:left="426" w:hanging="426"/>
        <w:rPr>
          <w:rFonts w:ascii="Times New Roman" w:hAnsi="Times New Roman" w:cs="Times New Roman"/>
          <w:szCs w:val="24"/>
        </w:rPr>
      </w:pPr>
      <w:r w:rsidRPr="00600AFD">
        <w:rPr>
          <w:rFonts w:ascii="Times New Roman" w:hAnsi="Times New Roman" w:cs="Times New Roman"/>
          <w:szCs w:val="24"/>
        </w:rPr>
        <w:t xml:space="preserve">Analyses of the </w:t>
      </w:r>
      <w:r w:rsidR="007A4135" w:rsidRPr="00600AFD">
        <w:rPr>
          <w:rFonts w:ascii="Times New Roman" w:hAnsi="Times New Roman" w:cs="Times New Roman"/>
          <w:szCs w:val="24"/>
        </w:rPr>
        <w:t>C</w:t>
      </w:r>
      <w:r w:rsidRPr="00600AFD">
        <w:rPr>
          <w:rFonts w:ascii="Times New Roman" w:hAnsi="Times New Roman" w:cs="Times New Roman"/>
          <w:szCs w:val="24"/>
        </w:rPr>
        <w:t xml:space="preserve">onstitutional </w:t>
      </w:r>
      <w:r w:rsidR="007A4135" w:rsidRPr="00600AFD">
        <w:rPr>
          <w:rFonts w:ascii="Times New Roman" w:hAnsi="Times New Roman" w:cs="Times New Roman"/>
          <w:szCs w:val="24"/>
        </w:rPr>
        <w:t>F</w:t>
      </w:r>
      <w:r w:rsidRPr="00600AFD">
        <w:rPr>
          <w:rFonts w:ascii="Times New Roman" w:hAnsi="Times New Roman" w:cs="Times New Roman"/>
          <w:szCs w:val="24"/>
        </w:rPr>
        <w:t xml:space="preserve">ramework on </w:t>
      </w:r>
      <w:r w:rsidR="007A4135" w:rsidRPr="00600AFD">
        <w:rPr>
          <w:rFonts w:ascii="Times New Roman" w:hAnsi="Times New Roman" w:cs="Times New Roman"/>
          <w:szCs w:val="24"/>
        </w:rPr>
        <w:t>J</w:t>
      </w:r>
      <w:r w:rsidRPr="00600AFD">
        <w:rPr>
          <w:rFonts w:ascii="Times New Roman" w:hAnsi="Times New Roman" w:cs="Times New Roman"/>
          <w:szCs w:val="24"/>
        </w:rPr>
        <w:t>udiciary in the Republic of Serbia, available at</w:t>
      </w:r>
      <w:r w:rsidR="00364709" w:rsidRPr="00600AFD">
        <w:rPr>
          <w:rFonts w:ascii="Times New Roman" w:hAnsi="Times New Roman" w:cs="Times New Roman"/>
          <w:szCs w:val="24"/>
        </w:rPr>
        <w:t>:</w:t>
      </w:r>
      <w:hyperlink r:id="rId15" w:history="1">
        <w:r w:rsidR="004A2704" w:rsidRPr="0052230F">
          <w:rPr>
            <w:rStyle w:val="Hyperlink"/>
            <w:rFonts w:ascii="Times New Roman" w:hAnsi="Times New Roman"/>
            <w:szCs w:val="24"/>
          </w:rPr>
          <w:t>http://www.mpravde.gov.rs/tekst/5847/radna–grupa–za–izradu–analize–izmene–ustavnog–okvira.php</w:t>
        </w:r>
      </w:hyperlink>
      <w:r w:rsidR="00364709" w:rsidRPr="00600AFD">
        <w:rPr>
          <w:rFonts w:ascii="Times New Roman" w:hAnsi="Times New Roman" w:cs="Times New Roman"/>
          <w:szCs w:val="24"/>
        </w:rPr>
        <w:t xml:space="preserve">, </w:t>
      </w:r>
      <w:r w:rsidR="00241BF7" w:rsidRPr="00600AFD">
        <w:rPr>
          <w:rFonts w:ascii="Times New Roman" w:hAnsi="Times New Roman" w:cs="Times New Roman"/>
          <w:szCs w:val="24"/>
        </w:rPr>
        <w:t>accessed</w:t>
      </w:r>
      <w:r w:rsidR="00364709" w:rsidRPr="00600AFD">
        <w:rPr>
          <w:rFonts w:ascii="Times New Roman" w:hAnsi="Times New Roman" w:cs="Times New Roman"/>
          <w:szCs w:val="24"/>
        </w:rPr>
        <w:t xml:space="preserve"> </w:t>
      </w:r>
      <w:r w:rsidR="007A4135" w:rsidRPr="00600AFD">
        <w:rPr>
          <w:rFonts w:ascii="Times New Roman" w:hAnsi="Times New Roman" w:cs="Times New Roman"/>
          <w:szCs w:val="24"/>
        </w:rPr>
        <w:t xml:space="preserve">May </w:t>
      </w:r>
      <w:r w:rsidR="00364709" w:rsidRPr="00600AFD">
        <w:rPr>
          <w:rFonts w:ascii="Times New Roman" w:hAnsi="Times New Roman" w:cs="Times New Roman"/>
          <w:szCs w:val="24"/>
        </w:rPr>
        <w:t>23</w:t>
      </w:r>
      <w:r w:rsidR="007A4135" w:rsidRPr="00600AFD">
        <w:rPr>
          <w:rFonts w:ascii="Times New Roman" w:hAnsi="Times New Roman" w:cs="Times New Roman"/>
          <w:szCs w:val="24"/>
        </w:rPr>
        <w:t>,</w:t>
      </w:r>
      <w:r w:rsidR="00364709" w:rsidRPr="00600AFD">
        <w:rPr>
          <w:rFonts w:ascii="Times New Roman" w:hAnsi="Times New Roman" w:cs="Times New Roman"/>
          <w:szCs w:val="24"/>
        </w:rPr>
        <w:t xml:space="preserve"> 2017. </w:t>
      </w:r>
    </w:p>
    <w:p w14:paraId="585D9438" w14:textId="728B6ABF" w:rsidR="002355AF" w:rsidRPr="00600AFD" w:rsidRDefault="00731ED6" w:rsidP="007B117D">
      <w:pPr>
        <w:pStyle w:val="ListParagraph"/>
        <w:numPr>
          <w:ilvl w:val="0"/>
          <w:numId w:val="3"/>
        </w:numPr>
        <w:spacing w:before="240" w:after="240" w:line="276" w:lineRule="auto"/>
        <w:ind w:left="426" w:hanging="426"/>
        <w:rPr>
          <w:rFonts w:ascii="Times New Roman" w:hAnsi="Times New Roman" w:cs="Times New Roman"/>
          <w:szCs w:val="24"/>
        </w:rPr>
      </w:pPr>
      <w:r w:rsidRPr="00600AFD">
        <w:rPr>
          <w:rFonts w:ascii="Times New Roman" w:hAnsi="Times New Roman" w:cs="Times New Roman"/>
          <w:szCs w:val="24"/>
        </w:rPr>
        <w:t>National Judicial Reform Strategy, “Official Gazette of the Republic of Serbia”, no. 44/06</w:t>
      </w:r>
    </w:p>
    <w:p w14:paraId="190C1B10" w14:textId="54E48287" w:rsidR="002355AF" w:rsidRPr="00600AFD" w:rsidRDefault="004D3991" w:rsidP="007B117D">
      <w:pPr>
        <w:pStyle w:val="ListParagraph"/>
        <w:numPr>
          <w:ilvl w:val="0"/>
          <w:numId w:val="3"/>
        </w:numPr>
        <w:spacing w:before="240" w:after="240" w:line="276" w:lineRule="auto"/>
        <w:ind w:left="426" w:hanging="426"/>
        <w:rPr>
          <w:rFonts w:ascii="Times New Roman" w:hAnsi="Times New Roman" w:cs="Times New Roman"/>
          <w:szCs w:val="24"/>
        </w:rPr>
      </w:pPr>
      <w:r w:rsidRPr="00600AFD">
        <w:rPr>
          <w:rFonts w:ascii="Times New Roman" w:hAnsi="Times New Roman" w:cs="Times New Roman"/>
          <w:szCs w:val="24"/>
        </w:rPr>
        <w:t>National Judicial Reform Strategy</w:t>
      </w:r>
      <w:r w:rsidRPr="00600AFD" w:rsidDel="004D3991">
        <w:rPr>
          <w:rFonts w:ascii="Times New Roman" w:hAnsi="Times New Roman" w:cs="Times New Roman"/>
          <w:szCs w:val="24"/>
        </w:rPr>
        <w:t xml:space="preserve"> </w:t>
      </w:r>
      <w:r w:rsidRPr="00600AFD">
        <w:rPr>
          <w:rFonts w:ascii="Times New Roman" w:hAnsi="Times New Roman" w:cs="Times New Roman"/>
          <w:szCs w:val="24"/>
        </w:rPr>
        <w:t>for the period</w:t>
      </w:r>
      <w:r w:rsidR="002355AF" w:rsidRPr="00600AFD">
        <w:rPr>
          <w:rFonts w:ascii="Times New Roman" w:hAnsi="Times New Roman" w:cs="Times New Roman"/>
          <w:szCs w:val="24"/>
        </w:rPr>
        <w:t xml:space="preserve"> 2013</w:t>
      </w:r>
      <w:r w:rsidR="000F3999">
        <w:rPr>
          <w:rFonts w:ascii="Times New Roman" w:hAnsi="Times New Roman" w:cs="Times New Roman"/>
          <w:szCs w:val="24"/>
        </w:rPr>
        <w:t>–</w:t>
      </w:r>
      <w:r w:rsidR="002355AF" w:rsidRPr="00600AFD">
        <w:rPr>
          <w:rFonts w:ascii="Times New Roman" w:hAnsi="Times New Roman" w:cs="Times New Roman"/>
          <w:szCs w:val="24"/>
        </w:rPr>
        <w:t>2018, "</w:t>
      </w:r>
      <w:r w:rsidRPr="00600AFD">
        <w:rPr>
          <w:rFonts w:ascii="Times New Roman" w:hAnsi="Times New Roman" w:cs="Times New Roman"/>
          <w:szCs w:val="24"/>
        </w:rPr>
        <w:t xml:space="preserve"> Official Gazette of the Republic of Serbia</w:t>
      </w:r>
      <w:r w:rsidRPr="00600AFD" w:rsidDel="004D3991">
        <w:rPr>
          <w:rFonts w:ascii="Times New Roman" w:hAnsi="Times New Roman" w:cs="Times New Roman"/>
          <w:szCs w:val="24"/>
        </w:rPr>
        <w:t xml:space="preserve"> </w:t>
      </w:r>
      <w:r w:rsidR="002355AF" w:rsidRPr="00600AFD">
        <w:rPr>
          <w:rFonts w:ascii="Times New Roman" w:hAnsi="Times New Roman" w:cs="Times New Roman"/>
          <w:szCs w:val="24"/>
        </w:rPr>
        <w:t xml:space="preserve">", </w:t>
      </w:r>
      <w:r w:rsidRPr="00600AFD">
        <w:rPr>
          <w:rFonts w:ascii="Times New Roman" w:hAnsi="Times New Roman" w:cs="Times New Roman"/>
          <w:szCs w:val="24"/>
        </w:rPr>
        <w:t xml:space="preserve">no. </w:t>
      </w:r>
      <w:r w:rsidR="002355AF" w:rsidRPr="00600AFD">
        <w:rPr>
          <w:rFonts w:ascii="Times New Roman" w:hAnsi="Times New Roman" w:cs="Times New Roman"/>
          <w:szCs w:val="24"/>
        </w:rPr>
        <w:t xml:space="preserve">57/13. </w:t>
      </w:r>
    </w:p>
    <w:p w14:paraId="0076EBD0" w14:textId="39891A86" w:rsidR="002355AF" w:rsidRPr="00600AFD" w:rsidRDefault="00F27397" w:rsidP="007B117D">
      <w:pPr>
        <w:pStyle w:val="ListParagraph"/>
        <w:numPr>
          <w:ilvl w:val="0"/>
          <w:numId w:val="3"/>
        </w:numPr>
        <w:spacing w:before="240" w:after="240" w:line="276" w:lineRule="auto"/>
        <w:ind w:left="426" w:hanging="426"/>
        <w:rPr>
          <w:rFonts w:ascii="Times New Roman" w:hAnsi="Times New Roman" w:cs="Times New Roman"/>
          <w:szCs w:val="24"/>
        </w:rPr>
      </w:pPr>
      <w:r w:rsidRPr="00600AFD">
        <w:rPr>
          <w:rFonts w:ascii="Times New Roman" w:hAnsi="Times New Roman" w:cs="Times New Roman"/>
          <w:szCs w:val="24"/>
        </w:rPr>
        <w:t>National Strategy for the Fight Against the Corruption for the period 2013</w:t>
      </w:r>
      <w:r w:rsidR="000F3999">
        <w:rPr>
          <w:rFonts w:ascii="Times New Roman" w:hAnsi="Times New Roman" w:cs="Times New Roman"/>
          <w:szCs w:val="24"/>
        </w:rPr>
        <w:t>–</w:t>
      </w:r>
      <w:r w:rsidRPr="00600AFD">
        <w:rPr>
          <w:rFonts w:ascii="Times New Roman" w:hAnsi="Times New Roman" w:cs="Times New Roman"/>
          <w:szCs w:val="24"/>
        </w:rPr>
        <w:t>2018, “Official Gazette of the Republic of Serbia</w:t>
      </w:r>
      <w:r w:rsidR="002355AF" w:rsidRPr="00600AFD">
        <w:rPr>
          <w:rFonts w:ascii="Times New Roman" w:hAnsi="Times New Roman" w:cs="Times New Roman"/>
          <w:szCs w:val="24"/>
        </w:rPr>
        <w:t>"</w:t>
      </w:r>
      <w:r w:rsidRPr="00600AFD">
        <w:rPr>
          <w:rFonts w:ascii="Times New Roman" w:hAnsi="Times New Roman" w:cs="Times New Roman"/>
          <w:szCs w:val="24"/>
        </w:rPr>
        <w:t>, no.</w:t>
      </w:r>
      <w:r w:rsidR="002355AF" w:rsidRPr="00600AFD">
        <w:rPr>
          <w:rFonts w:ascii="Times New Roman" w:hAnsi="Times New Roman" w:cs="Times New Roman"/>
          <w:szCs w:val="24"/>
        </w:rPr>
        <w:t xml:space="preserve"> 57/13.</w:t>
      </w:r>
    </w:p>
    <w:p w14:paraId="6D414A79" w14:textId="7F3F9D01" w:rsidR="002355AF" w:rsidRPr="00600AFD" w:rsidRDefault="00F27397" w:rsidP="007B117D">
      <w:pPr>
        <w:pStyle w:val="ListParagraph"/>
        <w:numPr>
          <w:ilvl w:val="0"/>
          <w:numId w:val="3"/>
        </w:numPr>
        <w:spacing w:before="240" w:after="240" w:line="276" w:lineRule="auto"/>
        <w:ind w:left="426" w:hanging="426"/>
        <w:rPr>
          <w:rFonts w:ascii="Times New Roman" w:hAnsi="Times New Roman" w:cs="Times New Roman"/>
          <w:szCs w:val="24"/>
        </w:rPr>
      </w:pPr>
      <w:r w:rsidRPr="00600AFD">
        <w:rPr>
          <w:rFonts w:ascii="Times New Roman" w:hAnsi="Times New Roman" w:cs="Times New Roman"/>
          <w:szCs w:val="24"/>
        </w:rPr>
        <w:t>National Strategy for War Crimes Processing</w:t>
      </w:r>
      <w:r w:rsidR="002355AF" w:rsidRPr="00600AFD">
        <w:rPr>
          <w:rFonts w:ascii="Times New Roman" w:hAnsi="Times New Roman" w:cs="Times New Roman"/>
          <w:szCs w:val="24"/>
        </w:rPr>
        <w:t xml:space="preserve">, </w:t>
      </w:r>
      <w:r w:rsidR="00121EB8" w:rsidRPr="00600AFD">
        <w:rPr>
          <w:rFonts w:ascii="Times New Roman" w:hAnsi="Times New Roman" w:cs="Times New Roman"/>
          <w:szCs w:val="24"/>
        </w:rPr>
        <w:t>“Official Gazette of the Republic of Serbia", no.</w:t>
      </w:r>
      <w:r w:rsidR="002355AF" w:rsidRPr="00600AFD">
        <w:rPr>
          <w:rFonts w:ascii="Times New Roman" w:hAnsi="Times New Roman" w:cs="Times New Roman"/>
          <w:szCs w:val="24"/>
        </w:rPr>
        <w:t xml:space="preserve"> 19/16.</w:t>
      </w:r>
    </w:p>
    <w:p w14:paraId="7CD301D6" w14:textId="64772A49" w:rsidR="003617B3" w:rsidRPr="00600AFD" w:rsidRDefault="00121EB8" w:rsidP="007B117D">
      <w:pPr>
        <w:pStyle w:val="ListParagraph"/>
        <w:numPr>
          <w:ilvl w:val="0"/>
          <w:numId w:val="3"/>
        </w:numPr>
        <w:spacing w:before="240" w:after="240" w:line="276" w:lineRule="auto"/>
        <w:ind w:left="426" w:hanging="426"/>
        <w:rPr>
          <w:rFonts w:ascii="Times New Roman" w:hAnsi="Times New Roman" w:cs="Times New Roman"/>
          <w:szCs w:val="24"/>
        </w:rPr>
      </w:pPr>
      <w:r w:rsidRPr="00600AFD">
        <w:rPr>
          <w:rFonts w:ascii="Times New Roman" w:hAnsi="Times New Roman" w:cs="Times New Roman"/>
          <w:szCs w:val="24"/>
        </w:rPr>
        <w:t>Code of Ethics</w:t>
      </w:r>
      <w:r w:rsidR="003617B3" w:rsidRPr="00600AFD">
        <w:rPr>
          <w:rFonts w:ascii="Times New Roman" w:hAnsi="Times New Roman" w:cs="Times New Roman"/>
          <w:szCs w:val="24"/>
        </w:rPr>
        <w:t xml:space="preserve">, </w:t>
      </w:r>
      <w:r w:rsidRPr="00600AFD">
        <w:rPr>
          <w:rFonts w:ascii="Times New Roman" w:hAnsi="Times New Roman" w:cs="Times New Roman"/>
          <w:szCs w:val="24"/>
        </w:rPr>
        <w:t>“Official Gazette of the Republic of Serbia", no.</w:t>
      </w:r>
      <w:r w:rsidR="003617B3" w:rsidRPr="00600AFD">
        <w:rPr>
          <w:rFonts w:ascii="Times New Roman" w:hAnsi="Times New Roman" w:cs="Times New Roman"/>
          <w:szCs w:val="24"/>
        </w:rPr>
        <w:t xml:space="preserve"> 96/2010. </w:t>
      </w:r>
    </w:p>
    <w:p w14:paraId="45FA5A1D" w14:textId="44EB2049" w:rsidR="00CE34E8" w:rsidRPr="00600AFD" w:rsidRDefault="003A532E" w:rsidP="007B117D">
      <w:pPr>
        <w:pStyle w:val="ListParagraph"/>
        <w:numPr>
          <w:ilvl w:val="0"/>
          <w:numId w:val="3"/>
        </w:numPr>
        <w:spacing w:before="240" w:after="240" w:line="276" w:lineRule="auto"/>
        <w:ind w:left="426" w:hanging="426"/>
        <w:rPr>
          <w:rStyle w:val="Hyperlink"/>
          <w:rFonts w:ascii="Times New Roman" w:hAnsi="Times New Roman"/>
          <w:color w:val="auto"/>
          <w:szCs w:val="24"/>
          <w:u w:val="none"/>
        </w:rPr>
      </w:pPr>
      <w:r w:rsidRPr="00600AFD">
        <w:rPr>
          <w:rFonts w:ascii="Times New Roman" w:hAnsi="Times New Roman" w:cs="Times New Roman"/>
          <w:szCs w:val="24"/>
        </w:rPr>
        <w:t>Code of Ethics for Public Prosecutors and Public Prosecutors’ Deputies</w:t>
      </w:r>
      <w:r w:rsidR="00DC2280" w:rsidRPr="00600AFD">
        <w:rPr>
          <w:rFonts w:ascii="Times New Roman" w:hAnsi="Times New Roman" w:cs="Times New Roman"/>
          <w:szCs w:val="24"/>
        </w:rPr>
        <w:t xml:space="preserve"> in the Republic of Serbia</w:t>
      </w:r>
      <w:r w:rsidRPr="00600AFD">
        <w:rPr>
          <w:rFonts w:ascii="Times New Roman" w:hAnsi="Times New Roman" w:cs="Times New Roman"/>
          <w:szCs w:val="24"/>
        </w:rPr>
        <w:t xml:space="preserve">, “Official Gazette of the Republic of Serbia", no. </w:t>
      </w:r>
      <w:r w:rsidR="003617B3" w:rsidRPr="00600AFD">
        <w:rPr>
          <w:rFonts w:ascii="Times New Roman" w:hAnsi="Times New Roman" w:cs="Times New Roman"/>
          <w:szCs w:val="24"/>
        </w:rPr>
        <w:t>87/2013.</w:t>
      </w:r>
    </w:p>
    <w:p w14:paraId="305FEF9D" w14:textId="6CD5E763" w:rsidR="00CE34E8" w:rsidRPr="00600AFD" w:rsidRDefault="006B622B" w:rsidP="007B117D">
      <w:pPr>
        <w:pStyle w:val="ListParagraph"/>
        <w:numPr>
          <w:ilvl w:val="0"/>
          <w:numId w:val="3"/>
        </w:numPr>
        <w:spacing w:before="240" w:after="240" w:line="276" w:lineRule="auto"/>
        <w:ind w:left="426" w:hanging="426"/>
        <w:rPr>
          <w:rFonts w:ascii="Times New Roman" w:hAnsi="Times New Roman" w:cs="Times New Roman"/>
          <w:szCs w:val="24"/>
        </w:rPr>
      </w:pPr>
      <w:r w:rsidRPr="00600AFD">
        <w:rPr>
          <w:rStyle w:val="Hyperlink"/>
          <w:rFonts w:ascii="Times New Roman" w:hAnsi="Times New Roman"/>
          <w:color w:val="auto"/>
          <w:szCs w:val="24"/>
          <w:u w:val="none"/>
        </w:rPr>
        <w:t>Unified Program for the Resolution of Backlog Cases in the Republic of Serbia</w:t>
      </w:r>
      <w:r w:rsidR="00CE34E8" w:rsidRPr="00600AFD">
        <w:rPr>
          <w:rStyle w:val="Hyperlink"/>
          <w:rFonts w:ascii="Times New Roman" w:hAnsi="Times New Roman"/>
          <w:color w:val="auto"/>
          <w:szCs w:val="24"/>
          <w:u w:val="none"/>
        </w:rPr>
        <w:t xml:space="preserve">, </w:t>
      </w:r>
      <w:r w:rsidRPr="00600AFD">
        <w:rPr>
          <w:rStyle w:val="Hyperlink"/>
          <w:rFonts w:ascii="Times New Roman" w:hAnsi="Times New Roman"/>
          <w:color w:val="auto"/>
          <w:szCs w:val="24"/>
          <w:u w:val="none"/>
        </w:rPr>
        <w:t>available at</w:t>
      </w:r>
      <w:r w:rsidR="00CE34E8" w:rsidRPr="00600AFD">
        <w:rPr>
          <w:rStyle w:val="Hyperlink"/>
          <w:rFonts w:ascii="Times New Roman" w:hAnsi="Times New Roman"/>
          <w:color w:val="auto"/>
          <w:szCs w:val="24"/>
          <w:u w:val="none"/>
        </w:rPr>
        <w:t>:</w:t>
      </w:r>
      <w:r w:rsidRPr="00600AFD">
        <w:rPr>
          <w:rStyle w:val="Hyperlink"/>
          <w:rFonts w:ascii="Times New Roman" w:hAnsi="Times New Roman"/>
          <w:color w:val="auto"/>
          <w:szCs w:val="24"/>
          <w:u w:val="none"/>
        </w:rPr>
        <w:t xml:space="preserve"> </w:t>
      </w:r>
      <w:hyperlink r:id="rId16" w:history="1">
        <w:r w:rsidR="004A2704" w:rsidRPr="0052230F">
          <w:rPr>
            <w:rStyle w:val="Hyperlink"/>
            <w:rFonts w:ascii="Times New Roman" w:hAnsi="Times New Roman"/>
            <w:szCs w:val="24"/>
          </w:rPr>
          <w:t>http://www.vk.sud.rs/sites/default/files/files/ResavanjeStarihPredmeta/jedinstveni_program.pdf</w:t>
        </w:r>
      </w:hyperlink>
      <w:r w:rsidR="00CE34E8" w:rsidRPr="00600AFD">
        <w:rPr>
          <w:rFonts w:ascii="Times New Roman" w:hAnsi="Times New Roman" w:cs="Times New Roman"/>
          <w:szCs w:val="24"/>
        </w:rPr>
        <w:t xml:space="preserve">, </w:t>
      </w:r>
      <w:r w:rsidR="00241BF7" w:rsidRPr="00600AFD">
        <w:rPr>
          <w:rFonts w:ascii="Times New Roman" w:hAnsi="Times New Roman" w:cs="Times New Roman"/>
          <w:szCs w:val="24"/>
        </w:rPr>
        <w:t>accessed</w:t>
      </w:r>
      <w:r w:rsidR="00CE34E8" w:rsidRPr="00600AFD">
        <w:rPr>
          <w:rFonts w:ascii="Times New Roman" w:hAnsi="Times New Roman" w:cs="Times New Roman"/>
          <w:szCs w:val="24"/>
        </w:rPr>
        <w:t xml:space="preserve"> </w:t>
      </w:r>
      <w:r w:rsidR="00C03D9A" w:rsidRPr="00600AFD">
        <w:rPr>
          <w:rFonts w:ascii="Times New Roman" w:hAnsi="Times New Roman" w:cs="Times New Roman"/>
          <w:szCs w:val="24"/>
        </w:rPr>
        <w:t>December</w:t>
      </w:r>
      <w:r w:rsidR="00DF2F42" w:rsidRPr="00600AFD">
        <w:rPr>
          <w:rFonts w:ascii="Times New Roman" w:hAnsi="Times New Roman" w:cs="Times New Roman"/>
          <w:szCs w:val="24"/>
        </w:rPr>
        <w:t xml:space="preserve"> 2,</w:t>
      </w:r>
      <w:r w:rsidR="00C03D9A" w:rsidRPr="00600AFD">
        <w:rPr>
          <w:rFonts w:ascii="Times New Roman" w:hAnsi="Times New Roman" w:cs="Times New Roman"/>
          <w:szCs w:val="24"/>
        </w:rPr>
        <w:t xml:space="preserve"> </w:t>
      </w:r>
      <w:r w:rsidR="00CE34E8" w:rsidRPr="00600AFD">
        <w:rPr>
          <w:rFonts w:ascii="Times New Roman" w:hAnsi="Times New Roman" w:cs="Times New Roman"/>
          <w:szCs w:val="24"/>
        </w:rPr>
        <w:t>2014.</w:t>
      </w:r>
    </w:p>
    <w:p w14:paraId="27B1141F" w14:textId="56DE44B3" w:rsidR="00C03D9A" w:rsidRPr="00600AFD" w:rsidRDefault="00C03D9A" w:rsidP="00C03D9A">
      <w:pPr>
        <w:pStyle w:val="ListParagraph"/>
        <w:numPr>
          <w:ilvl w:val="0"/>
          <w:numId w:val="3"/>
        </w:numPr>
        <w:spacing w:before="240" w:after="240" w:line="276" w:lineRule="auto"/>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Code of Conduct for Members of Parliament on the Limits o</w:t>
      </w:r>
      <w:r w:rsidR="0077271E" w:rsidRPr="00600AFD">
        <w:rPr>
          <w:rFonts w:ascii="Times New Roman" w:eastAsia="Times New Roman" w:hAnsi="Times New Roman" w:cs="Times New Roman"/>
          <w:szCs w:val="24"/>
          <w:lang w:eastAsia="sr-Latn-CS"/>
        </w:rPr>
        <w:t>f</w:t>
      </w:r>
      <w:r w:rsidRPr="00600AFD">
        <w:rPr>
          <w:rFonts w:ascii="Times New Roman" w:eastAsia="Times New Roman" w:hAnsi="Times New Roman" w:cs="Times New Roman"/>
          <w:szCs w:val="24"/>
          <w:lang w:eastAsia="sr-Latn-CS"/>
        </w:rPr>
        <w:t xml:space="preserve"> the Permissi</w:t>
      </w:r>
      <w:r w:rsidR="0077271E" w:rsidRPr="00600AFD">
        <w:rPr>
          <w:rFonts w:ascii="Times New Roman" w:eastAsia="Times New Roman" w:hAnsi="Times New Roman" w:cs="Times New Roman"/>
          <w:szCs w:val="24"/>
          <w:lang w:eastAsia="sr-Latn-CS"/>
        </w:rPr>
        <w:t>on</w:t>
      </w:r>
      <w:r w:rsidRPr="00600AFD">
        <w:rPr>
          <w:rFonts w:ascii="Times New Roman" w:eastAsia="Times New Roman" w:hAnsi="Times New Roman" w:cs="Times New Roman"/>
          <w:szCs w:val="24"/>
          <w:lang w:eastAsia="sr-Latn-CS"/>
        </w:rPr>
        <w:t xml:space="preserve"> </w:t>
      </w:r>
      <w:r w:rsidR="0077271E" w:rsidRPr="00600AFD">
        <w:rPr>
          <w:rFonts w:ascii="Times New Roman" w:eastAsia="Times New Roman" w:hAnsi="Times New Roman" w:cs="Times New Roman"/>
          <w:szCs w:val="24"/>
          <w:lang w:eastAsia="sr-Latn-CS"/>
        </w:rPr>
        <w:t>to</w:t>
      </w:r>
      <w:r w:rsidRPr="00600AFD">
        <w:rPr>
          <w:rFonts w:ascii="Times New Roman" w:eastAsia="Times New Roman" w:hAnsi="Times New Roman" w:cs="Times New Roman"/>
          <w:szCs w:val="24"/>
          <w:lang w:eastAsia="sr-Latn-CS"/>
        </w:rPr>
        <w:t xml:space="preserve"> Comment on Judgments and Proceedings, </w:t>
      </w:r>
      <w:r w:rsidR="00FB553E"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71/17.</w:t>
      </w:r>
    </w:p>
    <w:p w14:paraId="4F5DB7C9" w14:textId="6882DE97"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lastRenderedPageBreak/>
        <w:t xml:space="preserve">Code of Conduct for Members of the Government on the Limits of Permission to Comment on Court Decisions and Proceedings, </w:t>
      </w:r>
      <w:r w:rsidR="00FB553E"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6/16.</w:t>
      </w:r>
    </w:p>
    <w:p w14:paraId="665A78CC" w14:textId="4C1EE30F"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Decision on Amendments to the Rules of Procedure of the High </w:t>
      </w:r>
      <w:r w:rsidR="00F814F9" w:rsidRPr="00600AFD">
        <w:rPr>
          <w:rFonts w:ascii="Times New Roman" w:eastAsia="Times New Roman" w:hAnsi="Times New Roman" w:cs="Times New Roman"/>
          <w:szCs w:val="24"/>
          <w:lang w:eastAsia="sr-Latn-CS"/>
        </w:rPr>
        <w:t>Court</w:t>
      </w:r>
      <w:r w:rsidRPr="00600AFD">
        <w:rPr>
          <w:rFonts w:ascii="Times New Roman" w:eastAsia="Times New Roman" w:hAnsi="Times New Roman" w:cs="Times New Roman"/>
          <w:szCs w:val="24"/>
          <w:lang w:eastAsia="sr-Latn-CS"/>
        </w:rPr>
        <w:t xml:space="preserve"> Council, </w:t>
      </w:r>
      <w:r w:rsidR="00DB2432"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91/16.</w:t>
      </w:r>
    </w:p>
    <w:p w14:paraId="37D90C7E" w14:textId="411A4D47"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Rules of Procedure of the State Prosecutorial Council</w:t>
      </w:r>
      <w:r w:rsidR="00C4446B" w:rsidRPr="00600AFD">
        <w:rPr>
          <w:rFonts w:ascii="Times New Roman" w:eastAsia="Times New Roman" w:hAnsi="Times New Roman" w:cs="Times New Roman"/>
          <w:szCs w:val="24"/>
          <w:lang w:eastAsia="sr-Latn-CS"/>
        </w:rPr>
        <w:t>,</w:t>
      </w:r>
      <w:r w:rsidRPr="00600AFD">
        <w:rPr>
          <w:rFonts w:ascii="Times New Roman" w:eastAsia="Times New Roman" w:hAnsi="Times New Roman" w:cs="Times New Roman"/>
          <w:szCs w:val="24"/>
          <w:lang w:eastAsia="sr-Latn-CS"/>
        </w:rPr>
        <w:t xml:space="preserve"> </w:t>
      </w:r>
      <w:r w:rsidR="00C4446B"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29/17</w:t>
      </w:r>
      <w:r w:rsidR="00C4446B" w:rsidRPr="00600AFD">
        <w:rPr>
          <w:rFonts w:ascii="Times New Roman" w:eastAsia="Times New Roman" w:hAnsi="Times New Roman" w:cs="Times New Roman"/>
          <w:szCs w:val="24"/>
          <w:lang w:eastAsia="sr-Latn-CS"/>
        </w:rPr>
        <w:t>.</w:t>
      </w:r>
    </w:p>
    <w:p w14:paraId="1CC10435" w14:textId="5EC6B092"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Disciplinary Procedure and Disciplinary </w:t>
      </w:r>
      <w:r w:rsidR="00C4446B" w:rsidRPr="00600AFD">
        <w:rPr>
          <w:rFonts w:ascii="Times New Roman" w:eastAsia="Times New Roman" w:hAnsi="Times New Roman" w:cs="Times New Roman"/>
          <w:szCs w:val="24"/>
          <w:lang w:eastAsia="sr-Latn-CS"/>
        </w:rPr>
        <w:t>Liability</w:t>
      </w:r>
      <w:r w:rsidRPr="00600AFD">
        <w:rPr>
          <w:rFonts w:ascii="Times New Roman" w:eastAsia="Times New Roman" w:hAnsi="Times New Roman" w:cs="Times New Roman"/>
          <w:szCs w:val="24"/>
          <w:lang w:eastAsia="sr-Latn-CS"/>
        </w:rPr>
        <w:t xml:space="preserve"> of Public Prosecutors and Public Prosecutors</w:t>
      </w:r>
      <w:r w:rsidR="00C4446B" w:rsidRPr="00600AFD">
        <w:rPr>
          <w:rFonts w:ascii="Times New Roman" w:eastAsia="Times New Roman" w:hAnsi="Times New Roman" w:cs="Times New Roman"/>
          <w:szCs w:val="24"/>
          <w:lang w:eastAsia="sr-Latn-CS"/>
        </w:rPr>
        <w:t>’ Deputies,</w:t>
      </w:r>
      <w:r w:rsidRPr="00600AFD">
        <w:rPr>
          <w:rFonts w:ascii="Times New Roman" w:eastAsia="Times New Roman" w:hAnsi="Times New Roman" w:cs="Times New Roman"/>
          <w:szCs w:val="24"/>
          <w:lang w:eastAsia="sr-Latn-CS"/>
        </w:rPr>
        <w:t xml:space="preserve"> </w:t>
      </w:r>
      <w:r w:rsidR="00C4446B"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64/12, 109/13 and 58/14.</w:t>
      </w:r>
    </w:p>
    <w:p w14:paraId="035959B3" w14:textId="77777777" w:rsidR="000A1D06"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w:t>
      </w:r>
      <w:r w:rsidR="00DF7820" w:rsidRPr="00600AFD">
        <w:rPr>
          <w:rFonts w:ascii="Times New Roman" w:eastAsia="Times New Roman" w:hAnsi="Times New Roman" w:cs="Times New Roman"/>
          <w:szCs w:val="24"/>
          <w:lang w:eastAsia="sr-Latn-CS"/>
        </w:rPr>
        <w:t xml:space="preserve">the </w:t>
      </w:r>
      <w:r w:rsidR="000A1D06" w:rsidRPr="00600AFD">
        <w:rPr>
          <w:rFonts w:ascii="Times New Roman" w:eastAsia="Times New Roman" w:hAnsi="Times New Roman" w:cs="Times New Roman"/>
          <w:szCs w:val="24"/>
          <w:lang w:eastAsia="sr-Latn-CS"/>
        </w:rPr>
        <w:t>p</w:t>
      </w:r>
      <w:r w:rsidR="00DF7820" w:rsidRPr="00600AFD">
        <w:rPr>
          <w:rFonts w:ascii="Times New Roman" w:eastAsia="Times New Roman" w:hAnsi="Times New Roman" w:cs="Times New Roman"/>
          <w:szCs w:val="24"/>
          <w:lang w:eastAsia="sr-Latn-CS"/>
        </w:rPr>
        <w:t xml:space="preserve">rogram and the </w:t>
      </w:r>
      <w:r w:rsidR="000A1D06" w:rsidRPr="00600AFD">
        <w:rPr>
          <w:rFonts w:ascii="Times New Roman" w:eastAsia="Times New Roman" w:hAnsi="Times New Roman" w:cs="Times New Roman"/>
          <w:szCs w:val="24"/>
          <w:lang w:eastAsia="sr-Latn-CS"/>
        </w:rPr>
        <w:t>m</w:t>
      </w:r>
      <w:r w:rsidR="007E35C3" w:rsidRPr="00600AFD">
        <w:rPr>
          <w:rFonts w:ascii="Times New Roman" w:eastAsia="Times New Roman" w:hAnsi="Times New Roman" w:cs="Times New Roman"/>
          <w:szCs w:val="24"/>
          <w:lang w:eastAsia="sr-Latn-CS"/>
        </w:rPr>
        <w:t>anner of taking the exam in which competen</w:t>
      </w:r>
      <w:r w:rsidR="00B46720" w:rsidRPr="00600AFD">
        <w:rPr>
          <w:rFonts w:ascii="Times New Roman" w:eastAsia="Times New Roman" w:hAnsi="Times New Roman" w:cs="Times New Roman"/>
          <w:szCs w:val="24"/>
          <w:lang w:eastAsia="sr-Latn-CS"/>
        </w:rPr>
        <w:t>c</w:t>
      </w:r>
      <w:r w:rsidR="007E35C3" w:rsidRPr="00600AFD">
        <w:rPr>
          <w:rFonts w:ascii="Times New Roman" w:eastAsia="Times New Roman" w:hAnsi="Times New Roman" w:cs="Times New Roman"/>
          <w:szCs w:val="24"/>
          <w:lang w:eastAsia="sr-Latn-CS"/>
        </w:rPr>
        <w:t xml:space="preserve">es </w:t>
      </w:r>
      <w:r w:rsidR="00B46720" w:rsidRPr="00600AFD">
        <w:rPr>
          <w:rFonts w:ascii="Times New Roman" w:eastAsia="Times New Roman" w:hAnsi="Times New Roman" w:cs="Times New Roman"/>
          <w:szCs w:val="24"/>
          <w:lang w:eastAsia="sr-Latn-CS"/>
        </w:rPr>
        <w:t xml:space="preserve">and qualifications of the candidates </w:t>
      </w:r>
      <w:r w:rsidR="000A1D06" w:rsidRPr="00600AFD">
        <w:rPr>
          <w:rFonts w:ascii="Times New Roman" w:eastAsia="Times New Roman" w:hAnsi="Times New Roman" w:cs="Times New Roman"/>
          <w:szCs w:val="24"/>
          <w:lang w:eastAsia="sr-Latn-CS"/>
        </w:rPr>
        <w:t xml:space="preserve">applying </w:t>
      </w:r>
      <w:r w:rsidR="00B46720" w:rsidRPr="00600AFD">
        <w:rPr>
          <w:rFonts w:ascii="Times New Roman" w:eastAsia="Times New Roman" w:hAnsi="Times New Roman" w:cs="Times New Roman"/>
          <w:szCs w:val="24"/>
          <w:lang w:eastAsia="sr-Latn-CS"/>
        </w:rPr>
        <w:t>for the position of the judge</w:t>
      </w:r>
      <w:r w:rsidR="000A1D06" w:rsidRPr="00600AFD">
        <w:rPr>
          <w:rFonts w:ascii="Times New Roman" w:eastAsia="Times New Roman" w:hAnsi="Times New Roman" w:cs="Times New Roman"/>
          <w:szCs w:val="24"/>
          <w:lang w:eastAsia="sr-Latn-CS"/>
        </w:rPr>
        <w:t xml:space="preserve"> for the first time</w:t>
      </w:r>
      <w:r w:rsidR="00B46720" w:rsidRPr="00600AFD">
        <w:rPr>
          <w:rFonts w:ascii="Times New Roman" w:eastAsia="Times New Roman" w:hAnsi="Times New Roman" w:cs="Times New Roman"/>
          <w:szCs w:val="24"/>
          <w:lang w:eastAsia="sr-Latn-CS"/>
        </w:rPr>
        <w:t xml:space="preserve"> are</w:t>
      </w:r>
      <w:r w:rsidR="007E35C3" w:rsidRPr="00600AFD">
        <w:rPr>
          <w:rFonts w:ascii="Times New Roman" w:eastAsia="Times New Roman" w:hAnsi="Times New Roman" w:cs="Times New Roman"/>
          <w:szCs w:val="24"/>
          <w:lang w:eastAsia="sr-Latn-CS"/>
        </w:rPr>
        <w:t xml:space="preserve"> </w:t>
      </w:r>
      <w:r w:rsidR="000A1D06" w:rsidRPr="00600AFD">
        <w:rPr>
          <w:rFonts w:ascii="Times New Roman" w:eastAsia="Times New Roman" w:hAnsi="Times New Roman" w:cs="Times New Roman"/>
          <w:szCs w:val="24"/>
          <w:lang w:eastAsia="sr-Latn-CS"/>
        </w:rPr>
        <w:t xml:space="preserve">being </w:t>
      </w:r>
      <w:r w:rsidR="007E35C3" w:rsidRPr="00600AFD">
        <w:rPr>
          <w:rFonts w:ascii="Times New Roman" w:eastAsia="Times New Roman" w:hAnsi="Times New Roman" w:cs="Times New Roman"/>
          <w:szCs w:val="24"/>
          <w:lang w:eastAsia="sr-Latn-CS"/>
        </w:rPr>
        <w:t>assessed</w:t>
      </w:r>
      <w:r w:rsidR="000A1D06" w:rsidRPr="00600AFD">
        <w:rPr>
          <w:rFonts w:ascii="Times New Roman" w:eastAsia="Times New Roman" w:hAnsi="Times New Roman" w:cs="Times New Roman"/>
          <w:szCs w:val="24"/>
          <w:lang w:eastAsia="sr-Latn-CS"/>
        </w:rPr>
        <w:t>.</w:t>
      </w:r>
    </w:p>
    <w:p w14:paraId="33CB3534" w14:textId="68582681" w:rsidR="00C03D9A" w:rsidRPr="00600AFD" w:rsidRDefault="0094076E"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the </w:t>
      </w:r>
      <w:r w:rsidR="00C03D9A" w:rsidRPr="00600AFD">
        <w:rPr>
          <w:rFonts w:ascii="Times New Roman" w:eastAsia="Times New Roman" w:hAnsi="Times New Roman" w:cs="Times New Roman"/>
          <w:szCs w:val="24"/>
          <w:lang w:eastAsia="sr-Latn-CS"/>
        </w:rPr>
        <w:t xml:space="preserve">Criteria and </w:t>
      </w:r>
      <w:r w:rsidR="009F492E" w:rsidRPr="00600AFD">
        <w:rPr>
          <w:rFonts w:ascii="Times New Roman" w:eastAsia="Times New Roman" w:hAnsi="Times New Roman" w:cs="Times New Roman"/>
          <w:szCs w:val="24"/>
          <w:lang w:eastAsia="sr-Latn-CS"/>
        </w:rPr>
        <w:t>Standards</w:t>
      </w:r>
      <w:r w:rsidR="00C03D9A" w:rsidRPr="00600AFD">
        <w:rPr>
          <w:rFonts w:ascii="Times New Roman" w:eastAsia="Times New Roman" w:hAnsi="Times New Roman" w:cs="Times New Roman"/>
          <w:szCs w:val="24"/>
          <w:lang w:eastAsia="sr-Latn-CS"/>
        </w:rPr>
        <w:t xml:space="preserve"> for </w:t>
      </w:r>
      <w:r w:rsidR="007A7E49" w:rsidRPr="00600AFD">
        <w:rPr>
          <w:rFonts w:ascii="Times New Roman" w:eastAsia="Times New Roman" w:hAnsi="Times New Roman" w:cs="Times New Roman"/>
          <w:szCs w:val="24"/>
          <w:lang w:eastAsia="sr-Latn-CS"/>
        </w:rPr>
        <w:t>Evaluation of</w:t>
      </w:r>
      <w:r w:rsidR="00C03D9A" w:rsidRPr="00600AFD">
        <w:rPr>
          <w:rFonts w:ascii="Times New Roman" w:eastAsia="Times New Roman" w:hAnsi="Times New Roman" w:cs="Times New Roman"/>
          <w:szCs w:val="24"/>
          <w:lang w:eastAsia="sr-Latn-CS"/>
        </w:rPr>
        <w:t xml:space="preserve"> the Competence</w:t>
      </w:r>
      <w:r w:rsidRPr="00600AFD">
        <w:rPr>
          <w:rFonts w:ascii="Times New Roman" w:eastAsia="Times New Roman" w:hAnsi="Times New Roman" w:cs="Times New Roman"/>
          <w:szCs w:val="24"/>
          <w:lang w:eastAsia="sr-Latn-CS"/>
        </w:rPr>
        <w:t xml:space="preserve">s, </w:t>
      </w:r>
      <w:r w:rsidR="00D42C32" w:rsidRPr="00600AFD">
        <w:rPr>
          <w:rFonts w:ascii="Times New Roman" w:eastAsia="Times New Roman" w:hAnsi="Times New Roman" w:cs="Times New Roman"/>
          <w:szCs w:val="24"/>
          <w:lang w:eastAsia="sr-Latn-CS"/>
        </w:rPr>
        <w:t>Qualifications</w:t>
      </w:r>
      <w:r w:rsidR="00C03D9A" w:rsidRPr="00600AFD">
        <w:rPr>
          <w:rFonts w:ascii="Times New Roman" w:eastAsia="Times New Roman" w:hAnsi="Times New Roman" w:cs="Times New Roman"/>
          <w:szCs w:val="24"/>
          <w:lang w:eastAsia="sr-Latn-CS"/>
        </w:rPr>
        <w:t xml:space="preserve"> and </w:t>
      </w:r>
      <w:r w:rsidR="00D42C32" w:rsidRPr="00600AFD">
        <w:rPr>
          <w:rFonts w:ascii="Times New Roman" w:eastAsia="Times New Roman" w:hAnsi="Times New Roman" w:cs="Times New Roman"/>
          <w:szCs w:val="24"/>
          <w:lang w:eastAsia="sr-Latn-CS"/>
        </w:rPr>
        <w:t>Integr</w:t>
      </w:r>
      <w:r w:rsidR="00C03D9A" w:rsidRPr="00600AFD">
        <w:rPr>
          <w:rFonts w:ascii="Times New Roman" w:eastAsia="Times New Roman" w:hAnsi="Times New Roman" w:cs="Times New Roman"/>
          <w:szCs w:val="24"/>
          <w:lang w:eastAsia="sr-Latn-CS"/>
        </w:rPr>
        <w:t>ity of the Candidate</w:t>
      </w:r>
      <w:r w:rsidR="00D42C32" w:rsidRPr="00600AFD">
        <w:rPr>
          <w:rFonts w:ascii="Times New Roman" w:eastAsia="Times New Roman" w:hAnsi="Times New Roman" w:cs="Times New Roman"/>
          <w:szCs w:val="24"/>
          <w:lang w:eastAsia="sr-Latn-CS"/>
        </w:rPr>
        <w:t>s</w:t>
      </w:r>
      <w:r w:rsidR="009F492E" w:rsidRPr="00600AFD">
        <w:rPr>
          <w:rFonts w:ascii="Times New Roman" w:eastAsia="Times New Roman" w:hAnsi="Times New Roman" w:cs="Times New Roman"/>
          <w:szCs w:val="24"/>
          <w:lang w:eastAsia="sr-Latn-CS"/>
        </w:rPr>
        <w:t xml:space="preserve"> for Judge</w:t>
      </w:r>
      <w:r w:rsidR="004A60EB" w:rsidRPr="00600AFD">
        <w:rPr>
          <w:rFonts w:ascii="Times New Roman" w:eastAsia="Times New Roman" w:hAnsi="Times New Roman" w:cs="Times New Roman"/>
          <w:szCs w:val="24"/>
          <w:lang w:eastAsia="sr-Latn-CS"/>
        </w:rPr>
        <w:t xml:space="preserve"> Position</w:t>
      </w:r>
      <w:r w:rsidR="00362EBE" w:rsidRPr="00600AFD">
        <w:rPr>
          <w:rFonts w:ascii="Times New Roman" w:eastAsia="Times New Roman" w:hAnsi="Times New Roman" w:cs="Times New Roman"/>
          <w:szCs w:val="24"/>
          <w:lang w:eastAsia="sr-Latn-CS"/>
        </w:rPr>
        <w:t xml:space="preserve"> for the first time</w:t>
      </w:r>
      <w:r w:rsidR="00C03D9A" w:rsidRPr="00600AFD">
        <w:rPr>
          <w:rFonts w:ascii="Times New Roman" w:eastAsia="Times New Roman" w:hAnsi="Times New Roman" w:cs="Times New Roman"/>
          <w:szCs w:val="24"/>
          <w:lang w:eastAsia="sr-Latn-CS"/>
        </w:rPr>
        <w:t xml:space="preserve">, </w:t>
      </w:r>
      <w:r w:rsidR="00D42C32" w:rsidRPr="00600AFD">
        <w:rPr>
          <w:rFonts w:ascii="Times New Roman" w:eastAsia="Times New Roman" w:hAnsi="Times New Roman" w:cs="Times New Roman"/>
          <w:szCs w:val="24"/>
          <w:lang w:eastAsia="sr-Latn-CS"/>
        </w:rPr>
        <w:t>“Official Gazette of the Republic of Serbia", no.</w:t>
      </w:r>
      <w:r w:rsidR="00C03D9A" w:rsidRPr="00600AFD">
        <w:rPr>
          <w:rFonts w:ascii="Times New Roman" w:eastAsia="Times New Roman" w:hAnsi="Times New Roman" w:cs="Times New Roman"/>
          <w:szCs w:val="24"/>
          <w:lang w:eastAsia="sr-Latn-CS"/>
        </w:rPr>
        <w:t xml:space="preserve"> 94/16.</w:t>
      </w:r>
    </w:p>
    <w:p w14:paraId="15C4DE77" w14:textId="7298D024"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Criteria and </w:t>
      </w:r>
      <w:r w:rsidR="00362EBE" w:rsidRPr="00600AFD">
        <w:rPr>
          <w:rFonts w:ascii="Times New Roman" w:eastAsia="Times New Roman" w:hAnsi="Times New Roman" w:cs="Times New Roman"/>
          <w:szCs w:val="24"/>
          <w:lang w:eastAsia="sr-Latn-CS"/>
        </w:rPr>
        <w:t>Standards</w:t>
      </w:r>
      <w:r w:rsidRPr="00600AFD">
        <w:rPr>
          <w:rFonts w:ascii="Times New Roman" w:eastAsia="Times New Roman" w:hAnsi="Times New Roman" w:cs="Times New Roman"/>
          <w:szCs w:val="24"/>
          <w:lang w:eastAsia="sr-Latn-CS"/>
        </w:rPr>
        <w:t xml:space="preserve"> for </w:t>
      </w:r>
      <w:r w:rsidR="007A7E49" w:rsidRPr="00600AFD">
        <w:rPr>
          <w:rFonts w:ascii="Times New Roman" w:eastAsia="Times New Roman" w:hAnsi="Times New Roman" w:cs="Times New Roman"/>
          <w:szCs w:val="24"/>
          <w:lang w:eastAsia="sr-Latn-CS"/>
        </w:rPr>
        <w:t>Evaluation</w:t>
      </w:r>
      <w:r w:rsidRPr="00600AFD">
        <w:rPr>
          <w:rFonts w:ascii="Times New Roman" w:eastAsia="Times New Roman" w:hAnsi="Times New Roman" w:cs="Times New Roman"/>
          <w:szCs w:val="24"/>
          <w:lang w:eastAsia="sr-Latn-CS"/>
        </w:rPr>
        <w:t xml:space="preserve"> of </w:t>
      </w:r>
      <w:r w:rsidR="00112A38" w:rsidRPr="00600AFD">
        <w:rPr>
          <w:rFonts w:ascii="Times New Roman" w:eastAsia="Times New Roman" w:hAnsi="Times New Roman" w:cs="Times New Roman"/>
          <w:szCs w:val="24"/>
          <w:lang w:eastAsia="sr-Latn-CS"/>
        </w:rPr>
        <w:t>the Competences</w:t>
      </w:r>
      <w:r w:rsidR="008D796F" w:rsidRPr="00600AFD">
        <w:rPr>
          <w:rFonts w:ascii="Times New Roman" w:eastAsia="Times New Roman" w:hAnsi="Times New Roman" w:cs="Times New Roman"/>
          <w:szCs w:val="24"/>
          <w:lang w:eastAsia="sr-Latn-CS"/>
        </w:rPr>
        <w:t>, Qualifications</w:t>
      </w:r>
      <w:r w:rsidRPr="00600AFD">
        <w:rPr>
          <w:rFonts w:ascii="Times New Roman" w:eastAsia="Times New Roman" w:hAnsi="Times New Roman" w:cs="Times New Roman"/>
          <w:szCs w:val="24"/>
          <w:lang w:eastAsia="sr-Latn-CS"/>
        </w:rPr>
        <w:t xml:space="preserve"> and </w:t>
      </w:r>
      <w:r w:rsidR="008D796F" w:rsidRPr="00600AFD">
        <w:rPr>
          <w:rFonts w:ascii="Times New Roman" w:eastAsia="Times New Roman" w:hAnsi="Times New Roman" w:cs="Times New Roman"/>
          <w:szCs w:val="24"/>
          <w:lang w:eastAsia="sr-Latn-CS"/>
        </w:rPr>
        <w:t>Integrity</w:t>
      </w:r>
      <w:r w:rsidRPr="00600AFD">
        <w:rPr>
          <w:rFonts w:ascii="Times New Roman" w:eastAsia="Times New Roman" w:hAnsi="Times New Roman" w:cs="Times New Roman"/>
          <w:szCs w:val="24"/>
          <w:lang w:eastAsia="sr-Latn-CS"/>
        </w:rPr>
        <w:t xml:space="preserve"> </w:t>
      </w:r>
      <w:r w:rsidR="008D796F" w:rsidRPr="00600AFD">
        <w:rPr>
          <w:rFonts w:ascii="Times New Roman" w:eastAsia="Times New Roman" w:hAnsi="Times New Roman" w:cs="Times New Roman"/>
          <w:szCs w:val="24"/>
          <w:lang w:eastAsia="sr-Latn-CS"/>
        </w:rPr>
        <w:t>for the</w:t>
      </w:r>
      <w:r w:rsidRPr="00600AFD">
        <w:rPr>
          <w:rFonts w:ascii="Times New Roman" w:eastAsia="Times New Roman" w:hAnsi="Times New Roman" w:cs="Times New Roman"/>
          <w:szCs w:val="24"/>
          <w:lang w:eastAsia="sr-Latn-CS"/>
        </w:rPr>
        <w:t xml:space="preserve"> Electi</w:t>
      </w:r>
      <w:r w:rsidR="008D796F" w:rsidRPr="00600AFD">
        <w:rPr>
          <w:rFonts w:ascii="Times New Roman" w:eastAsia="Times New Roman" w:hAnsi="Times New Roman" w:cs="Times New Roman"/>
          <w:szCs w:val="24"/>
          <w:lang w:eastAsia="sr-Latn-CS"/>
        </w:rPr>
        <w:t>on</w:t>
      </w:r>
      <w:r w:rsidRPr="00600AFD">
        <w:rPr>
          <w:rFonts w:ascii="Times New Roman" w:eastAsia="Times New Roman" w:hAnsi="Times New Roman" w:cs="Times New Roman"/>
          <w:szCs w:val="24"/>
          <w:lang w:eastAsia="sr-Latn-CS"/>
        </w:rPr>
        <w:t xml:space="preserve"> </w:t>
      </w:r>
      <w:r w:rsidR="008D796F" w:rsidRPr="00600AFD">
        <w:rPr>
          <w:rFonts w:ascii="Times New Roman" w:eastAsia="Times New Roman" w:hAnsi="Times New Roman" w:cs="Times New Roman"/>
          <w:szCs w:val="24"/>
          <w:lang w:eastAsia="sr-Latn-CS"/>
        </w:rPr>
        <w:t>of</w:t>
      </w:r>
      <w:r w:rsidRPr="00600AFD">
        <w:rPr>
          <w:rFonts w:ascii="Times New Roman" w:eastAsia="Times New Roman" w:hAnsi="Times New Roman" w:cs="Times New Roman"/>
          <w:szCs w:val="24"/>
          <w:lang w:eastAsia="sr-Latn-CS"/>
        </w:rPr>
        <w:t xml:space="preserve"> Judge</w:t>
      </w:r>
      <w:r w:rsidR="008D796F" w:rsidRPr="00600AFD">
        <w:rPr>
          <w:rFonts w:ascii="Times New Roman" w:eastAsia="Times New Roman" w:hAnsi="Times New Roman" w:cs="Times New Roman"/>
          <w:szCs w:val="24"/>
          <w:lang w:eastAsia="sr-Latn-CS"/>
        </w:rPr>
        <w:t>s</w:t>
      </w:r>
      <w:r w:rsidRPr="00600AFD">
        <w:rPr>
          <w:rFonts w:ascii="Times New Roman" w:eastAsia="Times New Roman" w:hAnsi="Times New Roman" w:cs="Times New Roman"/>
          <w:szCs w:val="24"/>
          <w:lang w:eastAsia="sr-Latn-CS"/>
        </w:rPr>
        <w:t xml:space="preserve"> </w:t>
      </w:r>
      <w:r w:rsidR="00112339" w:rsidRPr="00600AFD">
        <w:rPr>
          <w:rFonts w:ascii="Times New Roman" w:eastAsia="Times New Roman" w:hAnsi="Times New Roman" w:cs="Times New Roman"/>
          <w:szCs w:val="24"/>
          <w:lang w:eastAsia="sr-Latn-CS"/>
        </w:rPr>
        <w:t>Holding a</w:t>
      </w:r>
      <w:r w:rsidRPr="00600AFD">
        <w:rPr>
          <w:rFonts w:ascii="Times New Roman" w:eastAsia="Times New Roman" w:hAnsi="Times New Roman" w:cs="Times New Roman"/>
          <w:szCs w:val="24"/>
          <w:lang w:eastAsia="sr-Latn-CS"/>
        </w:rPr>
        <w:t xml:space="preserve"> Permanent Judicial</w:t>
      </w:r>
      <w:r w:rsidR="00112339" w:rsidRPr="00600AFD">
        <w:rPr>
          <w:rFonts w:ascii="Times New Roman" w:eastAsia="Times New Roman" w:hAnsi="Times New Roman" w:cs="Times New Roman"/>
          <w:szCs w:val="24"/>
          <w:lang w:eastAsia="sr-Latn-CS"/>
        </w:rPr>
        <w:t xml:space="preserve"> Position</w:t>
      </w:r>
      <w:r w:rsidRPr="00600AFD">
        <w:rPr>
          <w:rFonts w:ascii="Times New Roman" w:eastAsia="Times New Roman" w:hAnsi="Times New Roman" w:cs="Times New Roman"/>
          <w:szCs w:val="24"/>
          <w:lang w:eastAsia="sr-Latn-CS"/>
        </w:rPr>
        <w:t xml:space="preserve"> to </w:t>
      </w:r>
      <w:r w:rsidR="00112339" w:rsidRPr="00600AFD">
        <w:rPr>
          <w:rFonts w:ascii="Times New Roman" w:eastAsia="Times New Roman" w:hAnsi="Times New Roman" w:cs="Times New Roman"/>
          <w:szCs w:val="24"/>
          <w:lang w:eastAsia="sr-Latn-CS"/>
        </w:rPr>
        <w:t xml:space="preserve">Other </w:t>
      </w:r>
      <w:r w:rsidRPr="00600AFD">
        <w:rPr>
          <w:rFonts w:ascii="Times New Roman" w:eastAsia="Times New Roman" w:hAnsi="Times New Roman" w:cs="Times New Roman"/>
          <w:szCs w:val="24"/>
          <w:lang w:eastAsia="sr-Latn-CS"/>
        </w:rPr>
        <w:t xml:space="preserve">or </w:t>
      </w:r>
      <w:r w:rsidR="00112339" w:rsidRPr="00600AFD">
        <w:rPr>
          <w:rFonts w:ascii="Times New Roman" w:eastAsia="Times New Roman" w:hAnsi="Times New Roman" w:cs="Times New Roman"/>
          <w:szCs w:val="24"/>
          <w:lang w:eastAsia="sr-Latn-CS"/>
        </w:rPr>
        <w:t>H</w:t>
      </w:r>
      <w:r w:rsidRPr="00600AFD">
        <w:rPr>
          <w:rFonts w:ascii="Times New Roman" w:eastAsia="Times New Roman" w:hAnsi="Times New Roman" w:cs="Times New Roman"/>
          <w:szCs w:val="24"/>
          <w:lang w:eastAsia="sr-Latn-CS"/>
        </w:rPr>
        <w:t xml:space="preserve">igher Court and on Criteria for Proposing a Candidate for </w:t>
      </w:r>
      <w:r w:rsidR="00B3687F" w:rsidRPr="00600AFD">
        <w:rPr>
          <w:rFonts w:ascii="Times New Roman" w:eastAsia="Times New Roman" w:hAnsi="Times New Roman" w:cs="Times New Roman"/>
          <w:szCs w:val="24"/>
          <w:lang w:eastAsia="sr-Latn-CS"/>
        </w:rPr>
        <w:t xml:space="preserve">the Position of </w:t>
      </w:r>
      <w:r w:rsidRPr="00600AFD">
        <w:rPr>
          <w:rFonts w:ascii="Times New Roman" w:eastAsia="Times New Roman" w:hAnsi="Times New Roman" w:cs="Times New Roman"/>
          <w:szCs w:val="24"/>
          <w:lang w:eastAsia="sr-Latn-CS"/>
        </w:rPr>
        <w:t xml:space="preserve">President of the Court </w:t>
      </w:r>
      <w:r w:rsidR="00B3687F"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94/16.</w:t>
      </w:r>
    </w:p>
    <w:p w14:paraId="3C973527" w14:textId="0FCCC88F"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Criteria and </w:t>
      </w:r>
      <w:r w:rsidR="004A60EB" w:rsidRPr="00600AFD">
        <w:rPr>
          <w:rFonts w:ascii="Times New Roman" w:eastAsia="Times New Roman" w:hAnsi="Times New Roman" w:cs="Times New Roman"/>
          <w:szCs w:val="24"/>
          <w:lang w:eastAsia="sr-Latn-CS"/>
        </w:rPr>
        <w:t>Standards</w:t>
      </w:r>
      <w:r w:rsidRPr="00600AFD">
        <w:rPr>
          <w:rFonts w:ascii="Times New Roman" w:eastAsia="Times New Roman" w:hAnsi="Times New Roman" w:cs="Times New Roman"/>
          <w:szCs w:val="24"/>
          <w:lang w:eastAsia="sr-Latn-CS"/>
        </w:rPr>
        <w:t xml:space="preserve"> for Evaluati</w:t>
      </w:r>
      <w:r w:rsidR="007A7E49" w:rsidRPr="00600AFD">
        <w:rPr>
          <w:rFonts w:ascii="Times New Roman" w:eastAsia="Times New Roman" w:hAnsi="Times New Roman" w:cs="Times New Roman"/>
          <w:szCs w:val="24"/>
          <w:lang w:eastAsia="sr-Latn-CS"/>
        </w:rPr>
        <w:t>on</w:t>
      </w:r>
      <w:r w:rsidRPr="00600AFD">
        <w:rPr>
          <w:rFonts w:ascii="Times New Roman" w:eastAsia="Times New Roman" w:hAnsi="Times New Roman" w:cs="Times New Roman"/>
          <w:szCs w:val="24"/>
          <w:lang w:eastAsia="sr-Latn-CS"/>
        </w:rPr>
        <w:t xml:space="preserve"> the Performance of Public Prosecutors and Public Prosecutors</w:t>
      </w:r>
      <w:r w:rsidR="00D53F5A" w:rsidRPr="00600AFD">
        <w:rPr>
          <w:rFonts w:ascii="Times New Roman" w:eastAsia="Times New Roman" w:hAnsi="Times New Roman" w:cs="Times New Roman"/>
          <w:szCs w:val="24"/>
          <w:lang w:eastAsia="sr-Latn-CS"/>
        </w:rPr>
        <w:t>’ Deputies</w:t>
      </w:r>
      <w:r w:rsidRPr="00600AFD">
        <w:rPr>
          <w:rFonts w:ascii="Times New Roman" w:eastAsia="Times New Roman" w:hAnsi="Times New Roman" w:cs="Times New Roman"/>
          <w:szCs w:val="24"/>
          <w:lang w:eastAsia="sr-Latn-CS"/>
        </w:rPr>
        <w:t xml:space="preserve">, </w:t>
      </w:r>
      <w:r w:rsidR="00D53F5A"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58/14.</w:t>
      </w:r>
    </w:p>
    <w:p w14:paraId="0FDEDC4F" w14:textId="747AF0F1"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Criteria and </w:t>
      </w:r>
      <w:r w:rsidR="007A7E49" w:rsidRPr="00600AFD">
        <w:rPr>
          <w:rFonts w:ascii="Times New Roman" w:eastAsia="Times New Roman" w:hAnsi="Times New Roman" w:cs="Times New Roman"/>
          <w:szCs w:val="24"/>
          <w:lang w:eastAsia="sr-Latn-CS"/>
        </w:rPr>
        <w:t>Standards</w:t>
      </w:r>
      <w:r w:rsidRPr="00600AFD">
        <w:rPr>
          <w:rFonts w:ascii="Times New Roman" w:eastAsia="Times New Roman" w:hAnsi="Times New Roman" w:cs="Times New Roman"/>
          <w:szCs w:val="24"/>
          <w:lang w:eastAsia="sr-Latn-CS"/>
        </w:rPr>
        <w:t xml:space="preserve"> for </w:t>
      </w:r>
      <w:r w:rsidR="007A7E49" w:rsidRPr="00600AFD">
        <w:rPr>
          <w:rFonts w:ascii="Times New Roman" w:eastAsia="Times New Roman" w:hAnsi="Times New Roman" w:cs="Times New Roman"/>
          <w:szCs w:val="24"/>
          <w:lang w:eastAsia="sr-Latn-CS"/>
        </w:rPr>
        <w:t>Evaluation of</w:t>
      </w:r>
      <w:r w:rsidRPr="00600AFD">
        <w:rPr>
          <w:rFonts w:ascii="Times New Roman" w:eastAsia="Times New Roman" w:hAnsi="Times New Roman" w:cs="Times New Roman"/>
          <w:szCs w:val="24"/>
          <w:lang w:eastAsia="sr-Latn-CS"/>
        </w:rPr>
        <w:t xml:space="preserve"> the Competence</w:t>
      </w:r>
      <w:r w:rsidR="00090275" w:rsidRPr="00600AFD">
        <w:rPr>
          <w:rFonts w:ascii="Times New Roman" w:eastAsia="Times New Roman" w:hAnsi="Times New Roman" w:cs="Times New Roman"/>
          <w:szCs w:val="24"/>
          <w:lang w:eastAsia="sr-Latn-CS"/>
        </w:rPr>
        <w:t>s, Qualifications</w:t>
      </w:r>
      <w:r w:rsidRPr="00600AFD">
        <w:rPr>
          <w:rFonts w:ascii="Times New Roman" w:eastAsia="Times New Roman" w:hAnsi="Times New Roman" w:cs="Times New Roman"/>
          <w:szCs w:val="24"/>
          <w:lang w:eastAsia="sr-Latn-CS"/>
        </w:rPr>
        <w:t xml:space="preserve"> and </w:t>
      </w:r>
      <w:r w:rsidR="00800F68" w:rsidRPr="00600AFD">
        <w:rPr>
          <w:rFonts w:ascii="Times New Roman" w:eastAsia="Times New Roman" w:hAnsi="Times New Roman" w:cs="Times New Roman"/>
          <w:szCs w:val="24"/>
          <w:lang w:eastAsia="sr-Latn-CS"/>
        </w:rPr>
        <w:t>Integrity</w:t>
      </w:r>
      <w:r w:rsidRPr="00600AFD">
        <w:rPr>
          <w:rFonts w:ascii="Times New Roman" w:eastAsia="Times New Roman" w:hAnsi="Times New Roman" w:cs="Times New Roman"/>
          <w:szCs w:val="24"/>
          <w:lang w:eastAsia="sr-Latn-CS"/>
        </w:rPr>
        <w:t xml:space="preserve"> of Candidates in the Procedure of Proposing and Electing </w:t>
      </w:r>
      <w:r w:rsidR="00FF4C72" w:rsidRPr="00600AFD">
        <w:rPr>
          <w:rFonts w:ascii="Times New Roman" w:eastAsia="Times New Roman" w:hAnsi="Times New Roman" w:cs="Times New Roman"/>
          <w:szCs w:val="24"/>
          <w:lang w:eastAsia="sr-Latn-CS"/>
        </w:rPr>
        <w:t xml:space="preserve">the Holders of </w:t>
      </w:r>
      <w:r w:rsidRPr="00600AFD">
        <w:rPr>
          <w:rFonts w:ascii="Times New Roman" w:eastAsia="Times New Roman" w:hAnsi="Times New Roman" w:cs="Times New Roman"/>
          <w:szCs w:val="24"/>
          <w:lang w:eastAsia="sr-Latn-CS"/>
        </w:rPr>
        <w:t>Public Prosecutors</w:t>
      </w:r>
      <w:r w:rsidR="00221A46" w:rsidRPr="00600AFD">
        <w:rPr>
          <w:rFonts w:ascii="Times New Roman" w:eastAsia="Times New Roman" w:hAnsi="Times New Roman" w:cs="Times New Roman"/>
          <w:szCs w:val="24"/>
          <w:lang w:eastAsia="sr-Latn-CS"/>
        </w:rPr>
        <w:t>’ Position</w:t>
      </w:r>
      <w:r w:rsidRPr="00600AFD">
        <w:rPr>
          <w:rFonts w:ascii="Times New Roman" w:eastAsia="Times New Roman" w:hAnsi="Times New Roman" w:cs="Times New Roman"/>
          <w:szCs w:val="24"/>
          <w:lang w:eastAsia="sr-Latn-CS"/>
        </w:rPr>
        <w:t xml:space="preserve">, </w:t>
      </w:r>
      <w:r w:rsidR="00090275" w:rsidRPr="00600AFD">
        <w:rPr>
          <w:rFonts w:ascii="Times New Roman" w:eastAsia="Times New Roman" w:hAnsi="Times New Roman" w:cs="Times New Roman"/>
          <w:szCs w:val="24"/>
          <w:lang w:eastAsia="sr-Latn-CS"/>
        </w:rPr>
        <w:t>“Official Gazette of the Republic of Serbia”</w:t>
      </w:r>
      <w:r w:rsidRPr="00600AFD">
        <w:rPr>
          <w:rFonts w:ascii="Times New Roman" w:eastAsia="Times New Roman" w:hAnsi="Times New Roman" w:cs="Times New Roman"/>
          <w:szCs w:val="24"/>
          <w:lang w:eastAsia="sr-Latn-CS"/>
        </w:rPr>
        <w:t>, no. 43/15, cf. 80/16.</w:t>
      </w:r>
    </w:p>
    <w:p w14:paraId="73B66C95" w14:textId="3E63AF2A"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Criteria and </w:t>
      </w:r>
      <w:r w:rsidR="00090275" w:rsidRPr="00600AFD">
        <w:rPr>
          <w:rFonts w:ascii="Times New Roman" w:eastAsia="Times New Roman" w:hAnsi="Times New Roman" w:cs="Times New Roman"/>
          <w:szCs w:val="24"/>
          <w:lang w:eastAsia="sr-Latn-CS"/>
        </w:rPr>
        <w:t>Standards</w:t>
      </w:r>
      <w:r w:rsidRPr="00600AFD">
        <w:rPr>
          <w:rFonts w:ascii="Times New Roman" w:eastAsia="Times New Roman" w:hAnsi="Times New Roman" w:cs="Times New Roman"/>
          <w:szCs w:val="24"/>
          <w:lang w:eastAsia="sr-Latn-CS"/>
        </w:rPr>
        <w:t xml:space="preserve"> for </w:t>
      </w:r>
      <w:r w:rsidR="00800F68" w:rsidRPr="00600AFD">
        <w:rPr>
          <w:rFonts w:ascii="Times New Roman" w:eastAsia="Times New Roman" w:hAnsi="Times New Roman" w:cs="Times New Roman"/>
          <w:szCs w:val="24"/>
          <w:lang w:eastAsia="sr-Latn-CS"/>
        </w:rPr>
        <w:t>Evaluation of</w:t>
      </w:r>
      <w:r w:rsidRPr="00600AFD">
        <w:rPr>
          <w:rFonts w:ascii="Times New Roman" w:eastAsia="Times New Roman" w:hAnsi="Times New Roman" w:cs="Times New Roman"/>
          <w:szCs w:val="24"/>
          <w:lang w:eastAsia="sr-Latn-CS"/>
        </w:rPr>
        <w:t xml:space="preserve"> the Competence</w:t>
      </w:r>
      <w:r w:rsidR="009626DB" w:rsidRPr="00600AFD">
        <w:rPr>
          <w:rFonts w:ascii="Times New Roman" w:eastAsia="Times New Roman" w:hAnsi="Times New Roman" w:cs="Times New Roman"/>
          <w:szCs w:val="24"/>
          <w:lang w:eastAsia="sr-Latn-CS"/>
        </w:rPr>
        <w:t>s, Qualifications</w:t>
      </w:r>
      <w:r w:rsidRPr="00600AFD">
        <w:rPr>
          <w:rFonts w:ascii="Times New Roman" w:eastAsia="Times New Roman" w:hAnsi="Times New Roman" w:cs="Times New Roman"/>
          <w:szCs w:val="24"/>
          <w:lang w:eastAsia="sr-Latn-CS"/>
        </w:rPr>
        <w:t xml:space="preserve"> and </w:t>
      </w:r>
      <w:r w:rsidR="009626DB" w:rsidRPr="00600AFD">
        <w:rPr>
          <w:rFonts w:ascii="Times New Roman" w:eastAsia="Times New Roman" w:hAnsi="Times New Roman" w:cs="Times New Roman"/>
          <w:szCs w:val="24"/>
          <w:lang w:eastAsia="sr-Latn-CS"/>
        </w:rPr>
        <w:t>Integrity</w:t>
      </w:r>
      <w:r w:rsidRPr="00600AFD">
        <w:rPr>
          <w:rFonts w:ascii="Times New Roman" w:eastAsia="Times New Roman" w:hAnsi="Times New Roman" w:cs="Times New Roman"/>
          <w:szCs w:val="24"/>
          <w:lang w:eastAsia="sr-Latn-CS"/>
        </w:rPr>
        <w:t xml:space="preserve"> of Candidates in the Procedure of Applying for the</w:t>
      </w:r>
      <w:r w:rsidR="009626DB" w:rsidRPr="00600AFD">
        <w:rPr>
          <w:rFonts w:ascii="Times New Roman" w:eastAsia="Times New Roman" w:hAnsi="Times New Roman" w:cs="Times New Roman"/>
          <w:szCs w:val="24"/>
          <w:lang w:eastAsia="sr-Latn-CS"/>
        </w:rPr>
        <w:t xml:space="preserve"> Position of</w:t>
      </w:r>
      <w:r w:rsidRPr="00600AFD">
        <w:rPr>
          <w:rFonts w:ascii="Times New Roman" w:eastAsia="Times New Roman" w:hAnsi="Times New Roman" w:cs="Times New Roman"/>
          <w:szCs w:val="24"/>
          <w:lang w:eastAsia="sr-Latn-CS"/>
        </w:rPr>
        <w:t xml:space="preserve"> Public Prosecutor</w:t>
      </w:r>
      <w:r w:rsidR="009626DB" w:rsidRPr="00600AFD">
        <w:rPr>
          <w:rFonts w:ascii="Times New Roman" w:eastAsia="Times New Roman" w:hAnsi="Times New Roman" w:cs="Times New Roman"/>
          <w:szCs w:val="24"/>
          <w:lang w:eastAsia="sr-Latn-CS"/>
        </w:rPr>
        <w:t>’s Deputy for the First Time</w:t>
      </w:r>
      <w:r w:rsidRPr="00600AFD">
        <w:rPr>
          <w:rFonts w:ascii="Times New Roman" w:eastAsia="Times New Roman" w:hAnsi="Times New Roman" w:cs="Times New Roman"/>
          <w:szCs w:val="24"/>
          <w:lang w:eastAsia="sr-Latn-CS"/>
        </w:rPr>
        <w:t xml:space="preserve">, </w:t>
      </w:r>
      <w:r w:rsidR="009626DB"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80/16.</w:t>
      </w:r>
    </w:p>
    <w:p w14:paraId="38707E93" w14:textId="39AE7C95"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Education of the State Attorney's Office, </w:t>
      </w:r>
      <w:r w:rsidR="00CB0A44"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73/14.</w:t>
      </w:r>
    </w:p>
    <w:p w14:paraId="4EB49D5A" w14:textId="4399CD09"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the Procedure for Determining the Disciplinary </w:t>
      </w:r>
      <w:r w:rsidR="00CB0A44" w:rsidRPr="00600AFD">
        <w:rPr>
          <w:rFonts w:ascii="Times New Roman" w:eastAsia="Times New Roman" w:hAnsi="Times New Roman" w:cs="Times New Roman"/>
          <w:szCs w:val="24"/>
          <w:lang w:eastAsia="sr-Latn-CS"/>
        </w:rPr>
        <w:t>Liability</w:t>
      </w:r>
      <w:r w:rsidRPr="00600AFD">
        <w:rPr>
          <w:rFonts w:ascii="Times New Roman" w:eastAsia="Times New Roman" w:hAnsi="Times New Roman" w:cs="Times New Roman"/>
          <w:szCs w:val="24"/>
          <w:lang w:eastAsia="sr-Latn-CS"/>
        </w:rPr>
        <w:t xml:space="preserve"> of Judges and Presidents of </w:t>
      </w:r>
      <w:r w:rsidR="000A0A57" w:rsidRPr="00600AFD">
        <w:rPr>
          <w:rFonts w:ascii="Times New Roman" w:eastAsia="Times New Roman" w:hAnsi="Times New Roman" w:cs="Times New Roman"/>
          <w:szCs w:val="24"/>
          <w:lang w:eastAsia="sr-Latn-CS"/>
        </w:rPr>
        <w:t xml:space="preserve">the </w:t>
      </w:r>
      <w:r w:rsidRPr="00600AFD">
        <w:rPr>
          <w:rFonts w:ascii="Times New Roman" w:eastAsia="Times New Roman" w:hAnsi="Times New Roman" w:cs="Times New Roman"/>
          <w:szCs w:val="24"/>
          <w:lang w:eastAsia="sr-Latn-CS"/>
        </w:rPr>
        <w:t xml:space="preserve">Courts, </w:t>
      </w:r>
      <w:r w:rsidR="00CB0A44"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41/15.</w:t>
      </w:r>
    </w:p>
    <w:p w14:paraId="02055845" w14:textId="3967D14D"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Rulebook on Administration in Public Prosecutor's Offices, </w:t>
      </w:r>
      <w:r w:rsidR="000A0A57"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110/09, 87/10 and 5/12.</w:t>
      </w:r>
    </w:p>
    <w:p w14:paraId="221808FD" w14:textId="55E1C0F5"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Guidelines for the Development and Implementation of an Integrity Plan, </w:t>
      </w:r>
      <w:r w:rsidR="00861237"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95/16 and 56/17.</w:t>
      </w:r>
    </w:p>
    <w:p w14:paraId="0F1D950D" w14:textId="614B21CA" w:rsidR="00C03D9A" w:rsidRPr="00600AFD" w:rsidRDefault="00C03D9A" w:rsidP="004A2704">
      <w:pPr>
        <w:pStyle w:val="ListParagraph"/>
        <w:numPr>
          <w:ilvl w:val="0"/>
          <w:numId w:val="3"/>
        </w:numPr>
        <w:spacing w:after="0"/>
        <w:rPr>
          <w:rFonts w:ascii="Times New Roman" w:eastAsia="Times New Roman" w:hAnsi="Times New Roman" w:cs="Times New Roman"/>
          <w:szCs w:val="24"/>
          <w:lang w:eastAsia="sr-Latn-CS"/>
        </w:rPr>
      </w:pPr>
      <w:r w:rsidRPr="00600AFD">
        <w:rPr>
          <w:rFonts w:ascii="Times New Roman" w:eastAsia="Times New Roman" w:hAnsi="Times New Roman" w:cs="Times New Roman"/>
          <w:szCs w:val="24"/>
          <w:lang w:eastAsia="sr-Latn-CS"/>
        </w:rPr>
        <w:t xml:space="preserve">Statute of the Bar Association of Serbia, </w:t>
      </w:r>
      <w:r w:rsidR="00861237"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85/11, 78/12 and 86/13.</w:t>
      </w:r>
    </w:p>
    <w:p w14:paraId="70B5DAB7" w14:textId="223497A8" w:rsidR="001E328B" w:rsidRPr="00600AFD" w:rsidRDefault="00C03D9A" w:rsidP="004A2704">
      <w:pPr>
        <w:pStyle w:val="ListParagraph"/>
        <w:numPr>
          <w:ilvl w:val="0"/>
          <w:numId w:val="3"/>
        </w:numPr>
        <w:spacing w:after="0"/>
        <w:ind w:left="709" w:hanging="283"/>
        <w:rPr>
          <w:rFonts w:ascii="Times New Roman" w:hAnsi="Times New Roman" w:cs="Times New Roman"/>
          <w:szCs w:val="24"/>
        </w:rPr>
      </w:pPr>
      <w:r w:rsidRPr="00600AFD">
        <w:rPr>
          <w:rFonts w:ascii="Times New Roman" w:eastAsia="Times New Roman" w:hAnsi="Times New Roman" w:cs="Times New Roman"/>
          <w:szCs w:val="24"/>
          <w:lang w:eastAsia="sr-Latn-CS"/>
        </w:rPr>
        <w:t xml:space="preserve">Court Rules of Procedure, </w:t>
      </w:r>
      <w:r w:rsidR="001E328B" w:rsidRPr="00600AFD">
        <w:rPr>
          <w:rFonts w:ascii="Times New Roman" w:eastAsia="Times New Roman" w:hAnsi="Times New Roman" w:cs="Times New Roman"/>
          <w:szCs w:val="24"/>
          <w:lang w:eastAsia="sr-Latn-CS"/>
        </w:rPr>
        <w:t>“Official Gazette of the Republic of Serbia", no.</w:t>
      </w:r>
      <w:r w:rsidRPr="00600AFD">
        <w:rPr>
          <w:rFonts w:ascii="Times New Roman" w:eastAsia="Times New Roman" w:hAnsi="Times New Roman" w:cs="Times New Roman"/>
          <w:szCs w:val="24"/>
          <w:lang w:eastAsia="sr-Latn-CS"/>
        </w:rPr>
        <w:t xml:space="preserve"> 110/09, 70/11, 19/12, 89/13, 96/15, 104/15, 113/15 </w:t>
      </w:r>
      <w:r w:rsidR="000F3999">
        <w:rPr>
          <w:rFonts w:ascii="Times New Roman" w:eastAsia="Times New Roman" w:hAnsi="Times New Roman" w:cs="Times New Roman"/>
          <w:szCs w:val="24"/>
          <w:lang w:eastAsia="sr-Latn-CS"/>
        </w:rPr>
        <w:t>–</w:t>
      </w:r>
      <w:r w:rsidRPr="00600AFD">
        <w:rPr>
          <w:rFonts w:ascii="Times New Roman" w:eastAsia="Times New Roman" w:hAnsi="Times New Roman" w:cs="Times New Roman"/>
          <w:szCs w:val="24"/>
          <w:lang w:eastAsia="sr-Latn-CS"/>
        </w:rPr>
        <w:t xml:space="preserve"> ed., 39/16, 56/16, 77/16</w:t>
      </w:r>
      <w:r w:rsidR="00B21FC4" w:rsidRPr="00600AFD">
        <w:rPr>
          <w:rFonts w:ascii="Times New Roman" w:eastAsia="Times New Roman" w:hAnsi="Times New Roman" w:cs="Times New Roman"/>
          <w:szCs w:val="24"/>
          <w:lang w:eastAsia="sr-Latn-CS"/>
        </w:rPr>
        <w:t xml:space="preserve">, </w:t>
      </w:r>
      <w:r w:rsidRPr="00600AFD">
        <w:rPr>
          <w:rFonts w:ascii="Times New Roman" w:eastAsia="Times New Roman" w:hAnsi="Times New Roman" w:cs="Times New Roman"/>
          <w:szCs w:val="24"/>
          <w:lang w:eastAsia="sr-Latn-CS"/>
        </w:rPr>
        <w:t>16/18</w:t>
      </w:r>
      <w:r w:rsidR="00B21FC4" w:rsidRPr="00600AFD">
        <w:rPr>
          <w:rFonts w:ascii="Times New Roman" w:eastAsia="Times New Roman" w:hAnsi="Times New Roman" w:cs="Times New Roman"/>
          <w:szCs w:val="24"/>
          <w:lang w:eastAsia="sr-Latn-CS"/>
        </w:rPr>
        <w:t xml:space="preserve"> and 78/18</w:t>
      </w:r>
      <w:r w:rsidRPr="00600AFD">
        <w:rPr>
          <w:rFonts w:ascii="Times New Roman" w:eastAsia="Times New Roman" w:hAnsi="Times New Roman" w:cs="Times New Roman"/>
          <w:szCs w:val="24"/>
          <w:lang w:eastAsia="sr-Latn-CS"/>
        </w:rPr>
        <w:t>.</w:t>
      </w:r>
    </w:p>
    <w:p w14:paraId="562E72E6" w14:textId="1317D439"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Regulation on the Legal Information System of the Republic of Serbia, </w:t>
      </w:r>
      <w:r w:rsidR="000A5CF1"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113/13.</w:t>
      </w:r>
    </w:p>
    <w:p w14:paraId="5B9D46B5" w14:textId="2B724D35" w:rsidR="000A5CF1" w:rsidRPr="00600AFD" w:rsidRDefault="000A5CF1"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Constitution of the Republic of Serbia</w:t>
      </w:r>
      <w:r w:rsidR="00A11A17" w:rsidRPr="00600AFD">
        <w:rPr>
          <w:rFonts w:ascii="Times New Roman" w:hAnsi="Times New Roman" w:cs="Times New Roman"/>
          <w:szCs w:val="24"/>
        </w:rPr>
        <w:t>, “Official Gazette of the Republic of Serbia", no. 98/06</w:t>
      </w:r>
      <w:r w:rsidR="00E46CBB" w:rsidRPr="00600AFD">
        <w:rPr>
          <w:rFonts w:ascii="Times New Roman" w:hAnsi="Times New Roman" w:cs="Times New Roman"/>
          <w:szCs w:val="24"/>
        </w:rPr>
        <w:t>.</w:t>
      </w:r>
    </w:p>
    <w:p w14:paraId="34B54430" w14:textId="3948730B" w:rsidR="00E46CB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Law on the </w:t>
      </w:r>
      <w:r w:rsidR="00A11A17" w:rsidRPr="00600AFD">
        <w:rPr>
          <w:rFonts w:ascii="Times New Roman" w:hAnsi="Times New Roman" w:cs="Times New Roman"/>
          <w:szCs w:val="24"/>
        </w:rPr>
        <w:t>Legal Profession</w:t>
      </w:r>
      <w:r w:rsidRPr="00600AFD">
        <w:rPr>
          <w:rFonts w:ascii="Times New Roman" w:hAnsi="Times New Roman" w:cs="Times New Roman"/>
          <w:szCs w:val="24"/>
        </w:rPr>
        <w:t xml:space="preserve">, </w:t>
      </w:r>
      <w:r w:rsidR="00E46CBB" w:rsidRPr="00600AFD">
        <w:rPr>
          <w:rFonts w:ascii="Times New Roman" w:hAnsi="Times New Roman" w:cs="Times New Roman"/>
          <w:szCs w:val="24"/>
        </w:rPr>
        <w:t xml:space="preserve">“Official Gazette of the Republic of Serbia", no. 31/11 and 24/12 – Constitutional Court Decision. </w:t>
      </w:r>
    </w:p>
    <w:p w14:paraId="16E7119E" w14:textId="495F92D2"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lastRenderedPageBreak/>
        <w:t>Law on the Anti</w:t>
      </w:r>
      <w:r w:rsidR="000F3999">
        <w:rPr>
          <w:rFonts w:ascii="Times New Roman" w:hAnsi="Times New Roman" w:cs="Times New Roman"/>
          <w:szCs w:val="24"/>
        </w:rPr>
        <w:t>–</w:t>
      </w:r>
      <w:r w:rsidR="004C7D91" w:rsidRPr="00600AFD">
        <w:rPr>
          <w:rFonts w:ascii="Times New Roman" w:hAnsi="Times New Roman" w:cs="Times New Roman"/>
          <w:szCs w:val="24"/>
        </w:rPr>
        <w:t>Corruption</w:t>
      </w:r>
      <w:r w:rsidRPr="00600AFD">
        <w:rPr>
          <w:rFonts w:ascii="Times New Roman" w:hAnsi="Times New Roman" w:cs="Times New Roman"/>
          <w:szCs w:val="24"/>
        </w:rPr>
        <w:t xml:space="preserve"> Agency, </w:t>
      </w:r>
      <w:r w:rsidR="004C7D91"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97/08, 53/10, 66/11 </w:t>
      </w:r>
      <w:r w:rsidR="004C7D91" w:rsidRPr="00600AFD">
        <w:rPr>
          <w:rFonts w:ascii="Times New Roman" w:hAnsi="Times New Roman" w:cs="Times New Roman"/>
          <w:szCs w:val="24"/>
        </w:rPr>
        <w:t>–</w:t>
      </w:r>
      <w:r w:rsidRPr="00600AFD">
        <w:rPr>
          <w:rFonts w:ascii="Times New Roman" w:hAnsi="Times New Roman" w:cs="Times New Roman"/>
          <w:szCs w:val="24"/>
        </w:rPr>
        <w:t xml:space="preserve"> </w:t>
      </w:r>
      <w:r w:rsidR="004C7D91" w:rsidRPr="00600AFD">
        <w:rPr>
          <w:rFonts w:ascii="Times New Roman" w:hAnsi="Times New Roman" w:cs="Times New Roman"/>
          <w:szCs w:val="24"/>
        </w:rPr>
        <w:t>Constitutional Court Decision</w:t>
      </w:r>
      <w:r w:rsidRPr="00600AFD">
        <w:rPr>
          <w:rFonts w:ascii="Times New Roman" w:hAnsi="Times New Roman" w:cs="Times New Roman"/>
          <w:szCs w:val="24"/>
        </w:rPr>
        <w:t xml:space="preserve">, 67/2013 </w:t>
      </w:r>
      <w:r w:rsidR="000F3999">
        <w:rPr>
          <w:rFonts w:ascii="Times New Roman" w:hAnsi="Times New Roman" w:cs="Times New Roman"/>
          <w:szCs w:val="24"/>
        </w:rPr>
        <w:t>–</w:t>
      </w:r>
      <w:r w:rsidR="004C7D91" w:rsidRPr="00600AFD">
        <w:rPr>
          <w:rFonts w:ascii="Times New Roman" w:hAnsi="Times New Roman" w:cs="Times New Roman"/>
          <w:szCs w:val="24"/>
        </w:rPr>
        <w:t xml:space="preserve"> Constitutional Court Decision</w:t>
      </w:r>
      <w:r w:rsidRPr="00600AFD">
        <w:rPr>
          <w:rFonts w:ascii="Times New Roman" w:hAnsi="Times New Roman" w:cs="Times New Roman"/>
          <w:szCs w:val="24"/>
        </w:rPr>
        <w:t xml:space="preserve">, 112/2013 </w:t>
      </w:r>
      <w:r w:rsidR="000F3999">
        <w:rPr>
          <w:rFonts w:ascii="Times New Roman" w:hAnsi="Times New Roman" w:cs="Times New Roman"/>
          <w:szCs w:val="24"/>
        </w:rPr>
        <w:t>–</w:t>
      </w:r>
      <w:r w:rsidRPr="00600AFD">
        <w:rPr>
          <w:rFonts w:ascii="Times New Roman" w:hAnsi="Times New Roman" w:cs="Times New Roman"/>
          <w:szCs w:val="24"/>
        </w:rPr>
        <w:t xml:space="preserve"> authentic </w:t>
      </w:r>
      <w:r w:rsidR="004C7D91" w:rsidRPr="00600AFD">
        <w:rPr>
          <w:rFonts w:ascii="Times New Roman" w:hAnsi="Times New Roman" w:cs="Times New Roman"/>
          <w:szCs w:val="24"/>
        </w:rPr>
        <w:t>opinion</w:t>
      </w:r>
      <w:r w:rsidRPr="00600AFD">
        <w:rPr>
          <w:rFonts w:ascii="Times New Roman" w:hAnsi="Times New Roman" w:cs="Times New Roman"/>
          <w:szCs w:val="24"/>
        </w:rPr>
        <w:t xml:space="preserve"> and 8/15 </w:t>
      </w:r>
      <w:r w:rsidR="000F3999">
        <w:rPr>
          <w:rFonts w:ascii="Times New Roman" w:hAnsi="Times New Roman" w:cs="Times New Roman"/>
          <w:szCs w:val="24"/>
        </w:rPr>
        <w:t>–</w:t>
      </w:r>
      <w:r w:rsidRPr="00600AFD">
        <w:rPr>
          <w:rFonts w:ascii="Times New Roman" w:hAnsi="Times New Roman" w:cs="Times New Roman"/>
          <w:szCs w:val="24"/>
        </w:rPr>
        <w:t xml:space="preserve"> </w:t>
      </w:r>
      <w:r w:rsidR="004C7D91" w:rsidRPr="00600AFD">
        <w:rPr>
          <w:rFonts w:ascii="Times New Roman" w:hAnsi="Times New Roman" w:cs="Times New Roman"/>
          <w:szCs w:val="24"/>
        </w:rPr>
        <w:t>Constitutional Court Decision</w:t>
      </w:r>
      <w:r w:rsidRPr="00600AFD">
        <w:rPr>
          <w:rFonts w:ascii="Times New Roman" w:hAnsi="Times New Roman" w:cs="Times New Roman"/>
          <w:szCs w:val="24"/>
        </w:rPr>
        <w:t>.</w:t>
      </w:r>
    </w:p>
    <w:p w14:paraId="399B98BD" w14:textId="7D55AB1B"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Law on </w:t>
      </w:r>
      <w:r w:rsidR="002B2A71" w:rsidRPr="00600AFD">
        <w:rPr>
          <w:rFonts w:ascii="Times New Roman" w:hAnsi="Times New Roman" w:cs="Times New Roman"/>
          <w:szCs w:val="24"/>
        </w:rPr>
        <w:t>State</w:t>
      </w:r>
      <w:r w:rsidRPr="00600AFD">
        <w:rPr>
          <w:rFonts w:ascii="Times New Roman" w:hAnsi="Times New Roman" w:cs="Times New Roman"/>
          <w:szCs w:val="24"/>
        </w:rPr>
        <w:t xml:space="preserve"> Administration </w:t>
      </w:r>
      <w:r w:rsidR="0010143D"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79/05, 101/07, 95/10, 99/14</w:t>
      </w:r>
      <w:r w:rsidR="0010143D" w:rsidRPr="00600AFD">
        <w:rPr>
          <w:rFonts w:ascii="Times New Roman" w:hAnsi="Times New Roman" w:cs="Times New Roman"/>
          <w:szCs w:val="24"/>
        </w:rPr>
        <w:t>, 30/18</w:t>
      </w:r>
      <w:r w:rsidR="00D558EC" w:rsidRPr="00600AFD">
        <w:rPr>
          <w:rFonts w:ascii="Times New Roman" w:hAnsi="Times New Roman" w:cs="Times New Roman"/>
          <w:szCs w:val="24"/>
        </w:rPr>
        <w:t xml:space="preserve"> – other law, and 47/18.</w:t>
      </w:r>
    </w:p>
    <w:p w14:paraId="213F694C" w14:textId="3BF66A94"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Law on State Prosecutor</w:t>
      </w:r>
      <w:r w:rsidR="00B21FC4" w:rsidRPr="00600AFD">
        <w:rPr>
          <w:rFonts w:ascii="Times New Roman" w:hAnsi="Times New Roman" w:cs="Times New Roman"/>
          <w:szCs w:val="24"/>
        </w:rPr>
        <w:t>ial Council</w:t>
      </w:r>
      <w:r w:rsidRPr="00600AFD">
        <w:rPr>
          <w:rFonts w:ascii="Times New Roman" w:hAnsi="Times New Roman" w:cs="Times New Roman"/>
          <w:szCs w:val="24"/>
        </w:rPr>
        <w:t xml:space="preserve">, </w:t>
      </w:r>
      <w:r w:rsidR="00B21FC4"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116/08, 101/10, 88/11 and 106/15.</w:t>
      </w:r>
    </w:p>
    <w:p w14:paraId="18B74BE6" w14:textId="37945105"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Law on </w:t>
      </w:r>
      <w:r w:rsidR="00C71CD0" w:rsidRPr="00600AFD">
        <w:rPr>
          <w:rFonts w:ascii="Times New Roman" w:hAnsi="Times New Roman" w:cs="Times New Roman"/>
          <w:szCs w:val="24"/>
        </w:rPr>
        <w:t xml:space="preserve">the Protection of the Right to a </w:t>
      </w:r>
      <w:r w:rsidRPr="00600AFD">
        <w:rPr>
          <w:rFonts w:ascii="Times New Roman" w:hAnsi="Times New Roman" w:cs="Times New Roman"/>
          <w:szCs w:val="24"/>
        </w:rPr>
        <w:t xml:space="preserve">Trial within a Reasonable </w:t>
      </w:r>
      <w:r w:rsidR="00C71CD0" w:rsidRPr="00600AFD">
        <w:rPr>
          <w:rFonts w:ascii="Times New Roman" w:hAnsi="Times New Roman" w:cs="Times New Roman"/>
          <w:szCs w:val="24"/>
        </w:rPr>
        <w:t>Time</w:t>
      </w:r>
      <w:r w:rsidRPr="00600AFD">
        <w:rPr>
          <w:rFonts w:ascii="Times New Roman" w:hAnsi="Times New Roman" w:cs="Times New Roman"/>
          <w:szCs w:val="24"/>
        </w:rPr>
        <w:t xml:space="preserve"> </w:t>
      </w:r>
      <w:r w:rsidR="00C71CD0"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40/15.</w:t>
      </w:r>
    </w:p>
    <w:p w14:paraId="4AE76E60" w14:textId="104EC3D3"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Law on Enforcement and Security, </w:t>
      </w:r>
      <w:r w:rsidR="00C71CD0"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106/15, 106/16 </w:t>
      </w:r>
      <w:r w:rsidR="000F3999">
        <w:rPr>
          <w:rFonts w:ascii="Times New Roman" w:hAnsi="Times New Roman" w:cs="Times New Roman"/>
          <w:szCs w:val="24"/>
        </w:rPr>
        <w:t>–</w:t>
      </w:r>
      <w:r w:rsidRPr="00600AFD">
        <w:rPr>
          <w:rFonts w:ascii="Times New Roman" w:hAnsi="Times New Roman" w:cs="Times New Roman"/>
          <w:szCs w:val="24"/>
        </w:rPr>
        <w:t xml:space="preserve"> authentic interpretation and 113/17 </w:t>
      </w:r>
      <w:r w:rsidR="000F3999">
        <w:rPr>
          <w:rFonts w:ascii="Times New Roman" w:hAnsi="Times New Roman" w:cs="Times New Roman"/>
          <w:szCs w:val="24"/>
        </w:rPr>
        <w:t>–</w:t>
      </w:r>
      <w:r w:rsidRPr="00600AFD">
        <w:rPr>
          <w:rFonts w:ascii="Times New Roman" w:hAnsi="Times New Roman" w:cs="Times New Roman"/>
          <w:szCs w:val="24"/>
        </w:rPr>
        <w:t xml:space="preserve"> authentic interpretation.</w:t>
      </w:r>
    </w:p>
    <w:p w14:paraId="2B823F14" w14:textId="7EB86D92"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Law on Public </w:t>
      </w:r>
      <w:r w:rsidR="004310D4" w:rsidRPr="00600AFD">
        <w:rPr>
          <w:rFonts w:ascii="Times New Roman" w:hAnsi="Times New Roman" w:cs="Times New Roman"/>
          <w:szCs w:val="24"/>
        </w:rPr>
        <w:t>Notaries</w:t>
      </w:r>
      <w:r w:rsidRPr="00600AFD">
        <w:rPr>
          <w:rFonts w:ascii="Times New Roman" w:hAnsi="Times New Roman" w:cs="Times New Roman"/>
          <w:szCs w:val="24"/>
        </w:rPr>
        <w:t xml:space="preserve">, </w:t>
      </w:r>
      <w:r w:rsidR="004310D4"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31/2011, 85/12, 19/13, 55/14 </w:t>
      </w:r>
      <w:r w:rsidR="004310D4" w:rsidRPr="00600AFD">
        <w:rPr>
          <w:rFonts w:ascii="Times New Roman" w:hAnsi="Times New Roman" w:cs="Times New Roman"/>
          <w:szCs w:val="24"/>
        </w:rPr>
        <w:t>–</w:t>
      </w:r>
      <w:r w:rsidRPr="00600AFD">
        <w:rPr>
          <w:rFonts w:ascii="Times New Roman" w:hAnsi="Times New Roman" w:cs="Times New Roman"/>
          <w:szCs w:val="24"/>
        </w:rPr>
        <w:t xml:space="preserve"> </w:t>
      </w:r>
      <w:r w:rsidR="004310D4" w:rsidRPr="00600AFD">
        <w:rPr>
          <w:rFonts w:ascii="Times New Roman" w:hAnsi="Times New Roman" w:cs="Times New Roman"/>
          <w:szCs w:val="24"/>
        </w:rPr>
        <w:t>other</w:t>
      </w:r>
      <w:r w:rsidRPr="00600AFD">
        <w:rPr>
          <w:rFonts w:ascii="Times New Roman" w:hAnsi="Times New Roman" w:cs="Times New Roman"/>
          <w:szCs w:val="24"/>
        </w:rPr>
        <w:t xml:space="preserve"> law, 93/14 </w:t>
      </w:r>
      <w:r w:rsidR="000F3999">
        <w:rPr>
          <w:rFonts w:ascii="Times New Roman" w:hAnsi="Times New Roman" w:cs="Times New Roman"/>
          <w:szCs w:val="24"/>
        </w:rPr>
        <w:t>–</w:t>
      </w:r>
      <w:r w:rsidRPr="00600AFD">
        <w:rPr>
          <w:rFonts w:ascii="Times New Roman" w:hAnsi="Times New Roman" w:cs="Times New Roman"/>
          <w:szCs w:val="24"/>
        </w:rPr>
        <w:t xml:space="preserve"> </w:t>
      </w:r>
      <w:r w:rsidR="004310D4" w:rsidRPr="00600AFD">
        <w:rPr>
          <w:rFonts w:ascii="Times New Roman" w:hAnsi="Times New Roman" w:cs="Times New Roman"/>
          <w:szCs w:val="24"/>
        </w:rPr>
        <w:t>other</w:t>
      </w:r>
      <w:r w:rsidRPr="00600AFD">
        <w:rPr>
          <w:rFonts w:ascii="Times New Roman" w:hAnsi="Times New Roman" w:cs="Times New Roman"/>
          <w:szCs w:val="24"/>
        </w:rPr>
        <w:t xml:space="preserve"> law, 121/14, 6/15 and 106/15</w:t>
      </w:r>
      <w:r w:rsidR="004310D4" w:rsidRPr="00600AFD">
        <w:rPr>
          <w:rFonts w:ascii="Times New Roman" w:hAnsi="Times New Roman" w:cs="Times New Roman"/>
          <w:szCs w:val="24"/>
        </w:rPr>
        <w:t>.</w:t>
      </w:r>
    </w:p>
    <w:p w14:paraId="3EBAB2D0" w14:textId="28DDE6B5"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Law on Public Information and Media</w:t>
      </w:r>
      <w:r w:rsidR="00824FD0" w:rsidRPr="00600AFD">
        <w:rPr>
          <w:rFonts w:ascii="Times New Roman" w:hAnsi="Times New Roman" w:cs="Times New Roman"/>
          <w:szCs w:val="24"/>
        </w:rPr>
        <w:t>,</w:t>
      </w:r>
      <w:r w:rsidRPr="00600AFD">
        <w:rPr>
          <w:rFonts w:ascii="Times New Roman" w:hAnsi="Times New Roman" w:cs="Times New Roman"/>
          <w:szCs w:val="24"/>
        </w:rPr>
        <w:t xml:space="preserve"> </w:t>
      </w:r>
      <w:r w:rsidR="00824FD0" w:rsidRPr="00600AFD">
        <w:rPr>
          <w:rFonts w:ascii="Times New Roman" w:hAnsi="Times New Roman" w:cs="Times New Roman"/>
          <w:szCs w:val="24"/>
        </w:rPr>
        <w:t xml:space="preserve">“Official Gazette of the Republic of Serbia", no. </w:t>
      </w:r>
      <w:r w:rsidRPr="00600AFD">
        <w:rPr>
          <w:rFonts w:ascii="Times New Roman" w:hAnsi="Times New Roman" w:cs="Times New Roman"/>
          <w:szCs w:val="24"/>
        </w:rPr>
        <w:t>83/14</w:t>
      </w:r>
      <w:r w:rsidR="00824FD0" w:rsidRPr="00600AFD">
        <w:rPr>
          <w:rFonts w:ascii="Times New Roman" w:hAnsi="Times New Roman" w:cs="Times New Roman"/>
          <w:szCs w:val="24"/>
        </w:rPr>
        <w:t>, 58/15</w:t>
      </w:r>
      <w:r w:rsidR="00A44E80" w:rsidRPr="00600AFD">
        <w:rPr>
          <w:rFonts w:ascii="Times New Roman" w:hAnsi="Times New Roman" w:cs="Times New Roman"/>
          <w:szCs w:val="24"/>
        </w:rPr>
        <w:t xml:space="preserve"> and 12/16 – authentic interpretation</w:t>
      </w:r>
      <w:r w:rsidR="00824FD0" w:rsidRPr="00600AFD">
        <w:rPr>
          <w:rFonts w:ascii="Times New Roman" w:hAnsi="Times New Roman" w:cs="Times New Roman"/>
          <w:szCs w:val="24"/>
        </w:rPr>
        <w:t>.</w:t>
      </w:r>
    </w:p>
    <w:p w14:paraId="1B6AB985" w14:textId="208C6808"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Law on Public Prosecut</w:t>
      </w:r>
      <w:r w:rsidR="00A44E80" w:rsidRPr="00600AFD">
        <w:rPr>
          <w:rFonts w:ascii="Times New Roman" w:hAnsi="Times New Roman" w:cs="Times New Roman"/>
          <w:szCs w:val="24"/>
        </w:rPr>
        <w:t>ion</w:t>
      </w:r>
      <w:r w:rsidRPr="00600AFD">
        <w:rPr>
          <w:rFonts w:ascii="Times New Roman" w:hAnsi="Times New Roman" w:cs="Times New Roman"/>
          <w:szCs w:val="24"/>
        </w:rPr>
        <w:t xml:space="preserve">, </w:t>
      </w:r>
      <w:r w:rsidR="00A44E80"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116/08, 104/09, 101/10, 78/11 </w:t>
      </w:r>
      <w:r w:rsidR="000F3999">
        <w:rPr>
          <w:rFonts w:ascii="Times New Roman" w:hAnsi="Times New Roman" w:cs="Times New Roman"/>
          <w:szCs w:val="24"/>
        </w:rPr>
        <w:t>–</w:t>
      </w:r>
      <w:r w:rsidRPr="00600AFD">
        <w:rPr>
          <w:rFonts w:ascii="Times New Roman" w:hAnsi="Times New Roman" w:cs="Times New Roman"/>
          <w:szCs w:val="24"/>
        </w:rPr>
        <w:t xml:space="preserve"> </w:t>
      </w:r>
      <w:r w:rsidR="00A44E80" w:rsidRPr="00600AFD">
        <w:rPr>
          <w:rFonts w:ascii="Times New Roman" w:hAnsi="Times New Roman" w:cs="Times New Roman"/>
          <w:szCs w:val="24"/>
        </w:rPr>
        <w:t>other</w:t>
      </w:r>
      <w:r w:rsidRPr="00600AFD">
        <w:rPr>
          <w:rFonts w:ascii="Times New Roman" w:hAnsi="Times New Roman" w:cs="Times New Roman"/>
          <w:szCs w:val="24"/>
        </w:rPr>
        <w:t xml:space="preserve"> law, 101/11, 38/12 </w:t>
      </w:r>
      <w:r w:rsidR="000F3999">
        <w:rPr>
          <w:rFonts w:ascii="Times New Roman" w:hAnsi="Times New Roman" w:cs="Times New Roman"/>
          <w:szCs w:val="24"/>
        </w:rPr>
        <w:t>–</w:t>
      </w:r>
      <w:r w:rsidRPr="00600AFD">
        <w:rPr>
          <w:rFonts w:ascii="Times New Roman" w:hAnsi="Times New Roman" w:cs="Times New Roman"/>
          <w:szCs w:val="24"/>
        </w:rPr>
        <w:t xml:space="preserve"> </w:t>
      </w:r>
      <w:r w:rsidR="00A44E80" w:rsidRPr="00600AFD">
        <w:rPr>
          <w:rFonts w:ascii="Times New Roman" w:hAnsi="Times New Roman" w:cs="Times New Roman"/>
          <w:szCs w:val="24"/>
        </w:rPr>
        <w:t>Constitutional Court Decision</w:t>
      </w:r>
      <w:r w:rsidRPr="00600AFD">
        <w:rPr>
          <w:rFonts w:ascii="Times New Roman" w:hAnsi="Times New Roman" w:cs="Times New Roman"/>
          <w:szCs w:val="24"/>
        </w:rPr>
        <w:t xml:space="preserve">, 121/12, 101/13, 111/14 </w:t>
      </w:r>
      <w:r w:rsidR="000F3999">
        <w:rPr>
          <w:rFonts w:ascii="Times New Roman" w:hAnsi="Times New Roman" w:cs="Times New Roman"/>
          <w:szCs w:val="24"/>
        </w:rPr>
        <w:t>–</w:t>
      </w:r>
      <w:r w:rsidRPr="00600AFD">
        <w:rPr>
          <w:rFonts w:ascii="Times New Roman" w:hAnsi="Times New Roman" w:cs="Times New Roman"/>
          <w:szCs w:val="24"/>
        </w:rPr>
        <w:t xml:space="preserve"> </w:t>
      </w:r>
      <w:r w:rsidR="00CD71D7" w:rsidRPr="00600AFD">
        <w:rPr>
          <w:rFonts w:ascii="Times New Roman" w:hAnsi="Times New Roman" w:cs="Times New Roman"/>
          <w:szCs w:val="24"/>
        </w:rPr>
        <w:t>Constitutional Court Decision</w:t>
      </w:r>
      <w:r w:rsidRPr="00600AFD">
        <w:rPr>
          <w:rFonts w:ascii="Times New Roman" w:hAnsi="Times New Roman" w:cs="Times New Roman"/>
          <w:szCs w:val="24"/>
        </w:rPr>
        <w:t xml:space="preserve">, 117/14, 106/15 and 63/16 </w:t>
      </w:r>
      <w:r w:rsidR="000F3999">
        <w:rPr>
          <w:rFonts w:ascii="Times New Roman" w:hAnsi="Times New Roman" w:cs="Times New Roman"/>
          <w:szCs w:val="24"/>
        </w:rPr>
        <w:t>–</w:t>
      </w:r>
      <w:r w:rsidRPr="00600AFD">
        <w:rPr>
          <w:rFonts w:ascii="Times New Roman" w:hAnsi="Times New Roman" w:cs="Times New Roman"/>
          <w:szCs w:val="24"/>
        </w:rPr>
        <w:t xml:space="preserve"> </w:t>
      </w:r>
      <w:r w:rsidR="00CD71D7" w:rsidRPr="00600AFD">
        <w:rPr>
          <w:rFonts w:ascii="Times New Roman" w:hAnsi="Times New Roman" w:cs="Times New Roman"/>
          <w:szCs w:val="24"/>
        </w:rPr>
        <w:t>Constitutional Court Decision</w:t>
      </w:r>
      <w:r w:rsidRPr="00600AFD">
        <w:rPr>
          <w:rFonts w:ascii="Times New Roman" w:hAnsi="Times New Roman" w:cs="Times New Roman"/>
          <w:szCs w:val="24"/>
        </w:rPr>
        <w:t>.</w:t>
      </w:r>
    </w:p>
    <w:p w14:paraId="685BE2A1" w14:textId="2D4B097D"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Law on Publication of Laws and Other Regulations and Acts, </w:t>
      </w:r>
      <w:r w:rsidR="00CD71D7"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45/13.</w:t>
      </w:r>
    </w:p>
    <w:p w14:paraId="281226FC" w14:textId="4EFE2F83" w:rsidR="001E328B" w:rsidRPr="00600AFD" w:rsidRDefault="001E328B" w:rsidP="004A2704">
      <w:pPr>
        <w:pStyle w:val="ListParagraph"/>
        <w:numPr>
          <w:ilvl w:val="0"/>
          <w:numId w:val="3"/>
        </w:numPr>
        <w:spacing w:after="0"/>
        <w:rPr>
          <w:rFonts w:ascii="Times New Roman" w:hAnsi="Times New Roman" w:cs="Times New Roman"/>
          <w:szCs w:val="24"/>
        </w:rPr>
      </w:pPr>
      <w:r w:rsidRPr="00600AFD">
        <w:rPr>
          <w:rFonts w:ascii="Times New Roman" w:hAnsi="Times New Roman" w:cs="Times New Roman"/>
          <w:szCs w:val="24"/>
        </w:rPr>
        <w:t xml:space="preserve">Law on Organization and </w:t>
      </w:r>
      <w:r w:rsidR="00584F6E" w:rsidRPr="00600AFD">
        <w:rPr>
          <w:rFonts w:ascii="Times New Roman" w:hAnsi="Times New Roman" w:cs="Times New Roman"/>
          <w:szCs w:val="24"/>
        </w:rPr>
        <w:t xml:space="preserve">Competences </w:t>
      </w:r>
      <w:r w:rsidRPr="00600AFD">
        <w:rPr>
          <w:rFonts w:ascii="Times New Roman" w:hAnsi="Times New Roman" w:cs="Times New Roman"/>
          <w:szCs w:val="24"/>
        </w:rPr>
        <w:t xml:space="preserve">of State </w:t>
      </w:r>
      <w:r w:rsidR="00584F6E" w:rsidRPr="00600AFD">
        <w:rPr>
          <w:rFonts w:ascii="Times New Roman" w:hAnsi="Times New Roman" w:cs="Times New Roman"/>
          <w:szCs w:val="24"/>
        </w:rPr>
        <w:t>Authorities</w:t>
      </w:r>
      <w:r w:rsidRPr="00600AFD">
        <w:rPr>
          <w:rFonts w:ascii="Times New Roman" w:hAnsi="Times New Roman" w:cs="Times New Roman"/>
          <w:szCs w:val="24"/>
        </w:rPr>
        <w:t xml:space="preserve"> for Combating High</w:t>
      </w:r>
      <w:r w:rsidR="000F3999">
        <w:rPr>
          <w:rFonts w:ascii="Times New Roman" w:hAnsi="Times New Roman" w:cs="Times New Roman"/>
          <w:szCs w:val="24"/>
        </w:rPr>
        <w:t>–</w:t>
      </w:r>
      <w:r w:rsidRPr="00600AFD">
        <w:rPr>
          <w:rFonts w:ascii="Times New Roman" w:hAnsi="Times New Roman" w:cs="Times New Roman"/>
          <w:szCs w:val="24"/>
        </w:rPr>
        <w:t xml:space="preserve">Tech Crime, </w:t>
      </w:r>
      <w:r w:rsidR="008434B2"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61/05 and 104/09.</w:t>
      </w:r>
    </w:p>
    <w:p w14:paraId="7BC4834F" w14:textId="0A90FFAF" w:rsidR="00F5697C" w:rsidRPr="00600AFD" w:rsidRDefault="001E328B" w:rsidP="004A2704">
      <w:pPr>
        <w:pStyle w:val="ListParagraph"/>
        <w:numPr>
          <w:ilvl w:val="0"/>
          <w:numId w:val="3"/>
        </w:numPr>
        <w:spacing w:after="0"/>
        <w:ind w:left="709" w:hanging="283"/>
        <w:rPr>
          <w:rFonts w:ascii="Times New Roman" w:hAnsi="Times New Roman" w:cs="Times New Roman"/>
          <w:szCs w:val="24"/>
        </w:rPr>
      </w:pPr>
      <w:r w:rsidRPr="00600AFD">
        <w:rPr>
          <w:rFonts w:ascii="Times New Roman" w:hAnsi="Times New Roman" w:cs="Times New Roman"/>
          <w:szCs w:val="24"/>
        </w:rPr>
        <w:t xml:space="preserve">Law on the Organization </w:t>
      </w:r>
      <w:r w:rsidR="00584F6E" w:rsidRPr="00600AFD">
        <w:rPr>
          <w:rFonts w:ascii="Times New Roman" w:hAnsi="Times New Roman" w:cs="Times New Roman"/>
          <w:szCs w:val="24"/>
        </w:rPr>
        <w:t xml:space="preserve">Competences of State Authorities </w:t>
      </w:r>
      <w:r w:rsidRPr="00600AFD">
        <w:rPr>
          <w:rFonts w:ascii="Times New Roman" w:hAnsi="Times New Roman" w:cs="Times New Roman"/>
          <w:szCs w:val="24"/>
        </w:rPr>
        <w:t xml:space="preserve">in </w:t>
      </w:r>
      <w:r w:rsidR="00384330" w:rsidRPr="00600AFD">
        <w:rPr>
          <w:rFonts w:ascii="Times New Roman" w:hAnsi="Times New Roman" w:cs="Times New Roman"/>
          <w:szCs w:val="24"/>
        </w:rPr>
        <w:t xml:space="preserve">War Crimes </w:t>
      </w:r>
      <w:r w:rsidR="006B664D" w:rsidRPr="00600AFD">
        <w:rPr>
          <w:rFonts w:ascii="Times New Roman" w:hAnsi="Times New Roman" w:cs="Times New Roman"/>
          <w:szCs w:val="24"/>
        </w:rPr>
        <w:t>Proce</w:t>
      </w:r>
      <w:r w:rsidR="00384330" w:rsidRPr="00600AFD">
        <w:rPr>
          <w:rFonts w:ascii="Times New Roman" w:hAnsi="Times New Roman" w:cs="Times New Roman"/>
          <w:szCs w:val="24"/>
        </w:rPr>
        <w:t>e</w:t>
      </w:r>
      <w:r w:rsidR="006B664D" w:rsidRPr="00600AFD">
        <w:rPr>
          <w:rFonts w:ascii="Times New Roman" w:hAnsi="Times New Roman" w:cs="Times New Roman"/>
          <w:szCs w:val="24"/>
        </w:rPr>
        <w:t>d</w:t>
      </w:r>
      <w:r w:rsidR="00384330" w:rsidRPr="00600AFD">
        <w:rPr>
          <w:rFonts w:ascii="Times New Roman" w:hAnsi="Times New Roman" w:cs="Times New Roman"/>
          <w:szCs w:val="24"/>
        </w:rPr>
        <w:t>ings</w:t>
      </w:r>
      <w:r w:rsidR="006B664D" w:rsidRPr="00600AFD">
        <w:rPr>
          <w:rFonts w:ascii="Times New Roman" w:hAnsi="Times New Roman" w:cs="Times New Roman"/>
          <w:szCs w:val="24"/>
        </w:rPr>
        <w:t xml:space="preserve"> “Official Gazette of the Republic of Serbia", no.</w:t>
      </w:r>
      <w:r w:rsidRPr="00600AFD">
        <w:rPr>
          <w:rFonts w:ascii="Times New Roman" w:hAnsi="Times New Roman" w:cs="Times New Roman"/>
          <w:szCs w:val="24"/>
        </w:rPr>
        <w:t xml:space="preserve"> 67/03, 135/04, 61/05, 101/07, 104/09, 101/11 </w:t>
      </w:r>
      <w:r w:rsidR="000F3999">
        <w:rPr>
          <w:rFonts w:ascii="Times New Roman" w:hAnsi="Times New Roman" w:cs="Times New Roman"/>
          <w:szCs w:val="24"/>
        </w:rPr>
        <w:t>–</w:t>
      </w:r>
      <w:r w:rsidRPr="00600AFD">
        <w:rPr>
          <w:rFonts w:ascii="Times New Roman" w:hAnsi="Times New Roman" w:cs="Times New Roman"/>
          <w:szCs w:val="24"/>
        </w:rPr>
        <w:t xml:space="preserve"> </w:t>
      </w:r>
      <w:r w:rsidR="00F5697C" w:rsidRPr="00600AFD">
        <w:rPr>
          <w:rFonts w:ascii="Times New Roman" w:hAnsi="Times New Roman" w:cs="Times New Roman"/>
          <w:szCs w:val="24"/>
        </w:rPr>
        <w:t>other</w:t>
      </w:r>
      <w:r w:rsidRPr="00600AFD">
        <w:rPr>
          <w:rFonts w:ascii="Times New Roman" w:hAnsi="Times New Roman" w:cs="Times New Roman"/>
          <w:szCs w:val="24"/>
        </w:rPr>
        <w:t xml:space="preserve"> law and 6/15.</w:t>
      </w:r>
      <w:r w:rsidR="00F5697C" w:rsidRPr="00600AFD">
        <w:rPr>
          <w:rFonts w:ascii="Times New Roman" w:hAnsi="Times New Roman" w:cs="Times New Roman"/>
          <w:szCs w:val="24"/>
        </w:rPr>
        <w:t xml:space="preserve"> </w:t>
      </w:r>
    </w:p>
    <w:p w14:paraId="4ABA4CF0" w14:textId="6D0470A0" w:rsidR="00FD5CE5" w:rsidRPr="00600AFD" w:rsidRDefault="001E328B" w:rsidP="004A2704">
      <w:pPr>
        <w:pStyle w:val="ListParagraph"/>
        <w:numPr>
          <w:ilvl w:val="0"/>
          <w:numId w:val="3"/>
        </w:numPr>
        <w:spacing w:after="0"/>
        <w:ind w:left="709" w:hanging="283"/>
        <w:rPr>
          <w:rFonts w:ascii="Times New Roman" w:hAnsi="Times New Roman" w:cs="Times New Roman"/>
          <w:szCs w:val="24"/>
        </w:rPr>
      </w:pPr>
      <w:r w:rsidRPr="00600AFD">
        <w:rPr>
          <w:rFonts w:ascii="Times New Roman" w:hAnsi="Times New Roman" w:cs="Times New Roman"/>
          <w:szCs w:val="24"/>
        </w:rPr>
        <w:t xml:space="preserve">Law on Organization and </w:t>
      </w:r>
      <w:r w:rsidR="00384330" w:rsidRPr="00600AFD">
        <w:rPr>
          <w:rFonts w:ascii="Times New Roman" w:hAnsi="Times New Roman" w:cs="Times New Roman"/>
          <w:szCs w:val="24"/>
        </w:rPr>
        <w:t>Competences of State Authorities</w:t>
      </w:r>
      <w:r w:rsidRPr="00600AFD">
        <w:rPr>
          <w:rFonts w:ascii="Times New Roman" w:hAnsi="Times New Roman" w:cs="Times New Roman"/>
          <w:szCs w:val="24"/>
        </w:rPr>
        <w:t xml:space="preserve"> in Suppression of Organized Crime, Terrorism and C</w:t>
      </w:r>
      <w:r w:rsidR="00F5697C" w:rsidRPr="00600AFD">
        <w:rPr>
          <w:rFonts w:ascii="Times New Roman" w:hAnsi="Times New Roman" w:cs="Times New Roman"/>
          <w:szCs w:val="24"/>
        </w:rPr>
        <w:t>orruption</w:t>
      </w:r>
      <w:r w:rsidRPr="00600AFD">
        <w:rPr>
          <w:rFonts w:ascii="Times New Roman" w:hAnsi="Times New Roman" w:cs="Times New Roman"/>
          <w:szCs w:val="24"/>
        </w:rPr>
        <w:t xml:space="preserve">, </w:t>
      </w:r>
      <w:r w:rsidR="00F5697C" w:rsidRPr="00600AFD">
        <w:rPr>
          <w:rFonts w:ascii="Times New Roman" w:hAnsi="Times New Roman" w:cs="Times New Roman"/>
          <w:szCs w:val="24"/>
        </w:rPr>
        <w:t>“Official Gazette of the Republic of Serbia", no.</w:t>
      </w:r>
      <w:r w:rsidRPr="00600AFD">
        <w:rPr>
          <w:rFonts w:ascii="Times New Roman" w:hAnsi="Times New Roman" w:cs="Times New Roman"/>
          <w:szCs w:val="24"/>
        </w:rPr>
        <w:t xml:space="preserve"> 94/16</w:t>
      </w:r>
      <w:r w:rsidR="00FD5CE5" w:rsidRPr="00600AFD">
        <w:rPr>
          <w:rFonts w:ascii="Times New Roman" w:hAnsi="Times New Roman" w:cs="Times New Roman"/>
          <w:szCs w:val="24"/>
        </w:rPr>
        <w:t xml:space="preserve"> and 87/18 – other law</w:t>
      </w:r>
      <w:r w:rsidRPr="00600AFD">
        <w:rPr>
          <w:rFonts w:ascii="Times New Roman" w:hAnsi="Times New Roman" w:cs="Times New Roman"/>
          <w:szCs w:val="24"/>
        </w:rPr>
        <w:t>.</w:t>
      </w:r>
      <w:r w:rsidR="00FD5CE5" w:rsidRPr="00600AFD">
        <w:rPr>
          <w:rFonts w:ascii="Times New Roman" w:hAnsi="Times New Roman" w:cs="Times New Roman"/>
          <w:szCs w:val="24"/>
        </w:rPr>
        <w:t xml:space="preserve"> </w:t>
      </w:r>
    </w:p>
    <w:p w14:paraId="614AF688" w14:textId="6342FB87"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w:t>
      </w:r>
      <w:r w:rsidR="00EC693A" w:rsidRPr="00600AFD">
        <w:rPr>
          <w:rFonts w:ascii="Times New Roman" w:eastAsia="Times New Roman" w:hAnsi="Times New Roman" w:cs="Times New Roman"/>
          <w:color w:val="000000"/>
          <w:szCs w:val="24"/>
        </w:rPr>
        <w:t>Solemnization</w:t>
      </w:r>
      <w:r w:rsidRPr="00600AFD">
        <w:rPr>
          <w:rFonts w:ascii="Times New Roman" w:eastAsia="Times New Roman" w:hAnsi="Times New Roman" w:cs="Times New Roman"/>
          <w:color w:val="000000"/>
          <w:szCs w:val="24"/>
        </w:rPr>
        <w:t xml:space="preserve"> of Signatures, Manuscripts and Transcripts, </w:t>
      </w:r>
      <w:r w:rsidR="00EC693A"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93/14</w:t>
      </w:r>
      <w:r w:rsidR="00362EE9" w:rsidRPr="00600AFD">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22/15</w:t>
      </w:r>
      <w:r w:rsidR="00362EE9" w:rsidRPr="00600AFD">
        <w:rPr>
          <w:rFonts w:ascii="Times New Roman" w:eastAsia="Times New Roman" w:hAnsi="Times New Roman" w:cs="Times New Roman"/>
          <w:color w:val="000000"/>
          <w:szCs w:val="24"/>
        </w:rPr>
        <w:t xml:space="preserve"> and 87/18</w:t>
      </w:r>
      <w:r w:rsidRPr="00600AFD">
        <w:rPr>
          <w:rFonts w:ascii="Times New Roman" w:eastAsia="Times New Roman" w:hAnsi="Times New Roman" w:cs="Times New Roman"/>
          <w:color w:val="000000"/>
          <w:szCs w:val="24"/>
        </w:rPr>
        <w:t>.</w:t>
      </w:r>
    </w:p>
    <w:p w14:paraId="13E099C6" w14:textId="6EEC0092"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Civil Procedure, </w:t>
      </w:r>
      <w:r w:rsidR="00362EE9"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72/11, 49/13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362EE9" w:rsidRPr="00600AFD">
        <w:rPr>
          <w:rFonts w:ascii="Times New Roman" w:eastAsia="Times New Roman" w:hAnsi="Times New Roman" w:cs="Times New Roman"/>
          <w:color w:val="000000"/>
          <w:szCs w:val="24"/>
        </w:rPr>
        <w:t>Constitutional Court Decision</w:t>
      </w:r>
      <w:r w:rsidRPr="00600AFD">
        <w:rPr>
          <w:rFonts w:ascii="Times New Roman" w:eastAsia="Times New Roman" w:hAnsi="Times New Roman" w:cs="Times New Roman"/>
          <w:color w:val="000000"/>
          <w:szCs w:val="24"/>
        </w:rPr>
        <w:t xml:space="preserve">, 74/13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362EE9" w:rsidRPr="00600AFD">
        <w:rPr>
          <w:rFonts w:ascii="Times New Roman" w:eastAsia="Times New Roman" w:hAnsi="Times New Roman" w:cs="Times New Roman"/>
          <w:color w:val="000000"/>
          <w:szCs w:val="24"/>
        </w:rPr>
        <w:t xml:space="preserve">Constitutional Court Decision, </w:t>
      </w:r>
      <w:r w:rsidRPr="00600AFD">
        <w:rPr>
          <w:rFonts w:ascii="Times New Roman" w:eastAsia="Times New Roman" w:hAnsi="Times New Roman" w:cs="Times New Roman"/>
          <w:color w:val="000000"/>
          <w:szCs w:val="24"/>
        </w:rPr>
        <w:t>55/14</w:t>
      </w:r>
      <w:r w:rsidR="00362EE9" w:rsidRPr="00600AFD">
        <w:rPr>
          <w:rFonts w:ascii="Times New Roman" w:eastAsia="Times New Roman" w:hAnsi="Times New Roman" w:cs="Times New Roman"/>
          <w:color w:val="000000"/>
          <w:szCs w:val="24"/>
        </w:rPr>
        <w:t xml:space="preserve"> a</w:t>
      </w:r>
      <w:r w:rsidR="008C142E" w:rsidRPr="00600AFD">
        <w:rPr>
          <w:rFonts w:ascii="Times New Roman" w:eastAsia="Times New Roman" w:hAnsi="Times New Roman" w:cs="Times New Roman"/>
          <w:color w:val="000000"/>
          <w:szCs w:val="24"/>
        </w:rPr>
        <w:t>nd 87/18</w:t>
      </w:r>
      <w:r w:rsidRPr="00600AFD">
        <w:rPr>
          <w:rFonts w:ascii="Times New Roman" w:eastAsia="Times New Roman" w:hAnsi="Times New Roman" w:cs="Times New Roman"/>
          <w:color w:val="000000"/>
          <w:szCs w:val="24"/>
        </w:rPr>
        <w:t>.</w:t>
      </w:r>
    </w:p>
    <w:p w14:paraId="2A77F6A8" w14:textId="748293EA"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Law on Non</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contentious Proceedings, </w:t>
      </w:r>
      <w:r w:rsidR="008C142E" w:rsidRPr="00600AFD">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Official Gazette of </w:t>
      </w:r>
      <w:r w:rsidR="008C142E" w:rsidRPr="00600AFD">
        <w:rPr>
          <w:rFonts w:ascii="Times New Roman" w:eastAsia="Times New Roman" w:hAnsi="Times New Roman" w:cs="Times New Roman"/>
          <w:color w:val="000000"/>
          <w:szCs w:val="24"/>
        </w:rPr>
        <w:t>F</w:t>
      </w:r>
      <w:r w:rsidRPr="00600AFD">
        <w:rPr>
          <w:rFonts w:ascii="Times New Roman" w:eastAsia="Times New Roman" w:hAnsi="Times New Roman" w:cs="Times New Roman"/>
          <w:color w:val="000000"/>
          <w:szCs w:val="24"/>
        </w:rPr>
        <w:t>RS</w:t>
      </w:r>
      <w:r w:rsidR="008C142E" w:rsidRPr="00600AFD">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no. 25/82 and 48/88 and </w:t>
      </w:r>
      <w:r w:rsidR="003100C7"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46/95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3100C7" w:rsidRPr="00600AFD">
        <w:rPr>
          <w:rFonts w:ascii="Times New Roman" w:eastAsia="Times New Roman" w:hAnsi="Times New Roman" w:cs="Times New Roman"/>
          <w:color w:val="000000"/>
          <w:szCs w:val="24"/>
        </w:rPr>
        <w:t>other</w:t>
      </w:r>
      <w:r w:rsidRPr="00600AFD">
        <w:rPr>
          <w:rFonts w:ascii="Times New Roman" w:eastAsia="Times New Roman" w:hAnsi="Times New Roman" w:cs="Times New Roman"/>
          <w:color w:val="000000"/>
          <w:szCs w:val="24"/>
        </w:rPr>
        <w:t xml:space="preserve"> law, 18/2005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3100C7" w:rsidRPr="00600AFD">
        <w:rPr>
          <w:rFonts w:ascii="Times New Roman" w:eastAsia="Times New Roman" w:hAnsi="Times New Roman" w:cs="Times New Roman"/>
          <w:color w:val="000000"/>
          <w:szCs w:val="24"/>
        </w:rPr>
        <w:t>other</w:t>
      </w:r>
      <w:r w:rsidRPr="00600AFD">
        <w:rPr>
          <w:rFonts w:ascii="Times New Roman" w:eastAsia="Times New Roman" w:hAnsi="Times New Roman" w:cs="Times New Roman"/>
          <w:color w:val="000000"/>
          <w:szCs w:val="24"/>
        </w:rPr>
        <w:t xml:space="preserve"> Law, 85/2012, 45/2013 </w:t>
      </w:r>
      <w:r w:rsidR="003100C7" w:rsidRPr="00600AFD">
        <w:rPr>
          <w:rFonts w:ascii="Times New Roman" w:eastAsia="Times New Roman" w:hAnsi="Times New Roman" w:cs="Times New Roman"/>
          <w:color w:val="000000"/>
          <w:szCs w:val="24"/>
        </w:rPr>
        <w:t>– other law</w:t>
      </w:r>
      <w:r w:rsidRPr="00600AFD">
        <w:rPr>
          <w:rFonts w:ascii="Times New Roman" w:eastAsia="Times New Roman" w:hAnsi="Times New Roman" w:cs="Times New Roman"/>
          <w:color w:val="000000"/>
          <w:szCs w:val="24"/>
        </w:rPr>
        <w:t xml:space="preserve">, 55/2014, 6/2015 and 106/2015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3100C7" w:rsidRPr="00600AFD">
        <w:rPr>
          <w:rFonts w:ascii="Times New Roman" w:eastAsia="Times New Roman" w:hAnsi="Times New Roman" w:cs="Times New Roman"/>
          <w:color w:val="000000"/>
          <w:szCs w:val="24"/>
        </w:rPr>
        <w:t>other</w:t>
      </w:r>
      <w:r w:rsidRPr="00600AFD">
        <w:rPr>
          <w:rFonts w:ascii="Times New Roman" w:eastAsia="Times New Roman" w:hAnsi="Times New Roman" w:cs="Times New Roman"/>
          <w:color w:val="000000"/>
          <w:szCs w:val="24"/>
        </w:rPr>
        <w:t xml:space="preserve"> law</w:t>
      </w:r>
      <w:r w:rsidR="00535C0A" w:rsidRPr="00600AFD">
        <w:rPr>
          <w:rFonts w:ascii="Times New Roman" w:eastAsia="Times New Roman" w:hAnsi="Times New Roman" w:cs="Times New Roman"/>
          <w:color w:val="000000"/>
          <w:szCs w:val="24"/>
        </w:rPr>
        <w:t>.</w:t>
      </w:r>
    </w:p>
    <w:p w14:paraId="573E4792" w14:textId="43BF7937"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Mediation in Dispute Resolution, </w:t>
      </w:r>
      <w:r w:rsidR="00535C0A"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55/14.</w:t>
      </w:r>
    </w:p>
    <w:p w14:paraId="0B4CA341" w14:textId="30C970FF"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the </w:t>
      </w:r>
      <w:r w:rsidR="00535C0A" w:rsidRPr="00600AFD">
        <w:rPr>
          <w:rFonts w:ascii="Times New Roman" w:eastAsia="Times New Roman" w:hAnsi="Times New Roman" w:cs="Times New Roman"/>
          <w:color w:val="000000"/>
          <w:szCs w:val="24"/>
        </w:rPr>
        <w:t xml:space="preserve">State </w:t>
      </w:r>
      <w:r w:rsidRPr="00600AFD">
        <w:rPr>
          <w:rFonts w:ascii="Times New Roman" w:eastAsia="Times New Roman" w:hAnsi="Times New Roman" w:cs="Times New Roman"/>
          <w:color w:val="000000"/>
          <w:szCs w:val="24"/>
        </w:rPr>
        <w:t>Attorneys</w:t>
      </w:r>
      <w:r w:rsidR="006618E2" w:rsidRPr="00600AFD">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Office, </w:t>
      </w:r>
      <w:r w:rsidR="006618E2"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55/14</w:t>
      </w:r>
      <w:r w:rsidR="006618E2" w:rsidRPr="00600AFD">
        <w:rPr>
          <w:rFonts w:ascii="Times New Roman" w:eastAsia="Times New Roman" w:hAnsi="Times New Roman" w:cs="Times New Roman"/>
          <w:color w:val="000000"/>
          <w:szCs w:val="24"/>
        </w:rPr>
        <w:t>.</w:t>
      </w:r>
    </w:p>
    <w:p w14:paraId="161FA7B8" w14:textId="28718B95"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Judicial Academy, </w:t>
      </w:r>
      <w:r w:rsidR="006618E2"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104/09, 32/14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6618E2" w:rsidRPr="00600AFD">
        <w:rPr>
          <w:rFonts w:ascii="Times New Roman" w:eastAsia="Times New Roman" w:hAnsi="Times New Roman" w:cs="Times New Roman"/>
          <w:color w:val="000000"/>
          <w:szCs w:val="24"/>
        </w:rPr>
        <w:t>Constitutional Court Decision</w:t>
      </w:r>
      <w:r w:rsidRPr="00600AFD">
        <w:rPr>
          <w:rFonts w:ascii="Times New Roman" w:eastAsia="Times New Roman" w:hAnsi="Times New Roman" w:cs="Times New Roman"/>
          <w:color w:val="000000"/>
          <w:szCs w:val="24"/>
        </w:rPr>
        <w:t xml:space="preserve"> and 106/15.</w:t>
      </w:r>
    </w:p>
    <w:p w14:paraId="5771ECAC" w14:textId="0B15C6F9" w:rsidR="0048621F"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the Seats and </w:t>
      </w:r>
      <w:r w:rsidR="00BE37B4" w:rsidRPr="00600AFD">
        <w:rPr>
          <w:rFonts w:ascii="Times New Roman" w:eastAsia="Times New Roman" w:hAnsi="Times New Roman" w:cs="Times New Roman"/>
          <w:color w:val="000000"/>
          <w:szCs w:val="24"/>
        </w:rPr>
        <w:t>Territor</w:t>
      </w:r>
      <w:r w:rsidR="007E6408" w:rsidRPr="00600AFD">
        <w:rPr>
          <w:rFonts w:ascii="Times New Roman" w:eastAsia="Times New Roman" w:hAnsi="Times New Roman" w:cs="Times New Roman"/>
          <w:color w:val="000000"/>
          <w:szCs w:val="24"/>
        </w:rPr>
        <w:t>ial Jurisdiction</w:t>
      </w:r>
      <w:r w:rsidRPr="00600AFD">
        <w:rPr>
          <w:rFonts w:ascii="Times New Roman" w:eastAsia="Times New Roman" w:hAnsi="Times New Roman" w:cs="Times New Roman"/>
          <w:color w:val="000000"/>
          <w:szCs w:val="24"/>
        </w:rPr>
        <w:t xml:space="preserve"> of Courts and Public Prosecutors</w:t>
      </w:r>
      <w:r w:rsidR="00BE37B4" w:rsidRPr="00600AFD">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Offices, </w:t>
      </w:r>
      <w:r w:rsidR="00BE37B4"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101/13.</w:t>
      </w:r>
    </w:p>
    <w:p w14:paraId="5D7F002B" w14:textId="77777777" w:rsidR="004A2704" w:rsidRPr="004A2704" w:rsidRDefault="004A2704" w:rsidP="004A2704">
      <w:pPr>
        <w:spacing w:after="0"/>
        <w:rPr>
          <w:rFonts w:ascii="Times New Roman" w:eastAsia="Times New Roman" w:hAnsi="Times New Roman" w:cs="Times New Roman"/>
          <w:color w:val="000000"/>
          <w:szCs w:val="24"/>
        </w:rPr>
      </w:pPr>
    </w:p>
    <w:p w14:paraId="4891707B" w14:textId="39F2D974"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lastRenderedPageBreak/>
        <w:t xml:space="preserve">Law on Judges, </w:t>
      </w:r>
      <w:r w:rsidR="00A1392C"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116/08, 58/09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A1392C" w:rsidRPr="00600AFD">
        <w:rPr>
          <w:rFonts w:ascii="Times New Roman" w:eastAsia="Times New Roman" w:hAnsi="Times New Roman" w:cs="Times New Roman"/>
          <w:color w:val="000000"/>
          <w:szCs w:val="24"/>
        </w:rPr>
        <w:t>Constitutional Court Decision</w:t>
      </w:r>
      <w:r w:rsidRPr="00600AFD">
        <w:rPr>
          <w:rFonts w:ascii="Times New Roman" w:eastAsia="Times New Roman" w:hAnsi="Times New Roman" w:cs="Times New Roman"/>
          <w:color w:val="000000"/>
          <w:szCs w:val="24"/>
        </w:rPr>
        <w:t xml:space="preserve">, 104/09, 101/10, 8/12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A1392C" w:rsidRPr="00600AFD">
        <w:rPr>
          <w:rFonts w:ascii="Times New Roman" w:eastAsia="Times New Roman" w:hAnsi="Times New Roman" w:cs="Times New Roman"/>
          <w:color w:val="000000"/>
          <w:szCs w:val="24"/>
        </w:rPr>
        <w:t>Constitutional Court Decision</w:t>
      </w:r>
      <w:r w:rsidRPr="00600AFD">
        <w:rPr>
          <w:rFonts w:ascii="Times New Roman" w:eastAsia="Times New Roman" w:hAnsi="Times New Roman" w:cs="Times New Roman"/>
          <w:color w:val="000000"/>
          <w:szCs w:val="24"/>
        </w:rPr>
        <w:t xml:space="preserve">, 121/12, 124/12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A1392C" w:rsidRPr="00600AFD">
        <w:rPr>
          <w:rFonts w:ascii="Times New Roman" w:eastAsia="Times New Roman" w:hAnsi="Times New Roman" w:cs="Times New Roman"/>
          <w:color w:val="000000"/>
          <w:szCs w:val="24"/>
        </w:rPr>
        <w:t>Constitutional Court Decision</w:t>
      </w:r>
      <w:r w:rsidRPr="00600AFD">
        <w:rPr>
          <w:rFonts w:ascii="Times New Roman" w:eastAsia="Times New Roman" w:hAnsi="Times New Roman" w:cs="Times New Roman"/>
          <w:color w:val="000000"/>
          <w:szCs w:val="24"/>
        </w:rPr>
        <w:t xml:space="preserve">, 101/13, 111/14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A1392C" w:rsidRPr="00600AFD">
        <w:rPr>
          <w:rFonts w:ascii="Times New Roman" w:eastAsia="Times New Roman" w:hAnsi="Times New Roman" w:cs="Times New Roman"/>
          <w:color w:val="000000"/>
          <w:szCs w:val="24"/>
        </w:rPr>
        <w:t>Constitutional Court Decision</w:t>
      </w:r>
      <w:r w:rsidRPr="00600AFD">
        <w:rPr>
          <w:rFonts w:ascii="Times New Roman" w:eastAsia="Times New Roman" w:hAnsi="Times New Roman" w:cs="Times New Roman"/>
          <w:color w:val="000000"/>
          <w:szCs w:val="24"/>
        </w:rPr>
        <w:t xml:space="preserve">, 117 / 14, 40/15, 63/15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A1392C" w:rsidRPr="00600AFD">
        <w:rPr>
          <w:rFonts w:ascii="Times New Roman" w:eastAsia="Times New Roman" w:hAnsi="Times New Roman" w:cs="Times New Roman"/>
          <w:color w:val="000000"/>
          <w:szCs w:val="24"/>
        </w:rPr>
        <w:t xml:space="preserve">Constitutional Court Decision </w:t>
      </w:r>
      <w:r w:rsidRPr="00600AFD">
        <w:rPr>
          <w:rFonts w:ascii="Times New Roman" w:eastAsia="Times New Roman" w:hAnsi="Times New Roman" w:cs="Times New Roman"/>
          <w:color w:val="000000"/>
          <w:szCs w:val="24"/>
        </w:rPr>
        <w:t xml:space="preserve">and 106/15, 63/16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A1392C" w:rsidRPr="00600AFD">
        <w:rPr>
          <w:rFonts w:ascii="Times New Roman" w:eastAsia="Times New Roman" w:hAnsi="Times New Roman" w:cs="Times New Roman"/>
          <w:color w:val="000000"/>
          <w:szCs w:val="24"/>
        </w:rPr>
        <w:t>Constitutional Court Decision</w:t>
      </w:r>
      <w:r w:rsidRPr="00600AFD">
        <w:rPr>
          <w:rFonts w:ascii="Times New Roman" w:eastAsia="Times New Roman" w:hAnsi="Times New Roman" w:cs="Times New Roman"/>
          <w:color w:val="000000"/>
          <w:szCs w:val="24"/>
        </w:rPr>
        <w:t xml:space="preserve"> and 47 / 1</w:t>
      </w:r>
      <w:r w:rsidR="00A1392C" w:rsidRPr="00600AFD">
        <w:rPr>
          <w:rFonts w:ascii="Times New Roman" w:eastAsia="Times New Roman" w:hAnsi="Times New Roman" w:cs="Times New Roman"/>
          <w:color w:val="000000"/>
          <w:szCs w:val="24"/>
        </w:rPr>
        <w:t>7.</w:t>
      </w:r>
    </w:p>
    <w:p w14:paraId="0E94EB0A" w14:textId="2A14F38B"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w:t>
      </w:r>
      <w:r w:rsidR="00E97FBC" w:rsidRPr="00600AFD">
        <w:rPr>
          <w:rFonts w:ascii="Times New Roman" w:eastAsia="Times New Roman" w:hAnsi="Times New Roman" w:cs="Times New Roman"/>
          <w:color w:val="000000"/>
          <w:szCs w:val="24"/>
        </w:rPr>
        <w:t>Court</w:t>
      </w:r>
      <w:r w:rsidRPr="00600AFD">
        <w:rPr>
          <w:rFonts w:ascii="Times New Roman" w:eastAsia="Times New Roman" w:hAnsi="Times New Roman" w:cs="Times New Roman"/>
          <w:color w:val="000000"/>
          <w:szCs w:val="24"/>
        </w:rPr>
        <w:t xml:space="preserve"> Expert</w:t>
      </w:r>
      <w:r w:rsidR="007E6408" w:rsidRPr="00600AFD">
        <w:rPr>
          <w:rFonts w:ascii="Times New Roman" w:eastAsia="Times New Roman" w:hAnsi="Times New Roman" w:cs="Times New Roman"/>
          <w:color w:val="000000"/>
          <w:szCs w:val="24"/>
        </w:rPr>
        <w:t xml:space="preserve"> Witnesses</w:t>
      </w:r>
      <w:r w:rsidRPr="00600AFD">
        <w:rPr>
          <w:rFonts w:ascii="Times New Roman" w:eastAsia="Times New Roman" w:hAnsi="Times New Roman" w:cs="Times New Roman"/>
          <w:color w:val="000000"/>
          <w:szCs w:val="24"/>
        </w:rPr>
        <w:t xml:space="preserve">, </w:t>
      </w:r>
      <w:r w:rsidR="00E97FBC"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44/10.</w:t>
      </w:r>
    </w:p>
    <w:p w14:paraId="020995A2" w14:textId="5DA9E403"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Organization of Courts, </w:t>
      </w:r>
      <w:r w:rsidR="00E97FBC"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116/08, 104/09, 101/10, 31/11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E97FBC" w:rsidRPr="00600AFD">
        <w:rPr>
          <w:rFonts w:ascii="Times New Roman" w:eastAsia="Times New Roman" w:hAnsi="Times New Roman" w:cs="Times New Roman"/>
          <w:color w:val="000000"/>
          <w:szCs w:val="24"/>
        </w:rPr>
        <w:t>other</w:t>
      </w:r>
      <w:r w:rsidRPr="00600AFD">
        <w:rPr>
          <w:rFonts w:ascii="Times New Roman" w:eastAsia="Times New Roman" w:hAnsi="Times New Roman" w:cs="Times New Roman"/>
          <w:color w:val="000000"/>
          <w:szCs w:val="24"/>
        </w:rPr>
        <w:t xml:space="preserve"> law, 78/11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E97FBC" w:rsidRPr="00600AFD">
        <w:rPr>
          <w:rFonts w:ascii="Times New Roman" w:eastAsia="Times New Roman" w:hAnsi="Times New Roman" w:cs="Times New Roman"/>
          <w:color w:val="000000"/>
          <w:szCs w:val="24"/>
        </w:rPr>
        <w:t>other</w:t>
      </w:r>
      <w:r w:rsidRPr="00600AFD">
        <w:rPr>
          <w:rFonts w:ascii="Times New Roman" w:eastAsia="Times New Roman" w:hAnsi="Times New Roman" w:cs="Times New Roman"/>
          <w:color w:val="000000"/>
          <w:szCs w:val="24"/>
        </w:rPr>
        <w:t xml:space="preserve"> law, 101/11, 101/13, 106/15, 40/15 </w:t>
      </w:r>
      <w:r w:rsidR="000F3999">
        <w:rPr>
          <w:rFonts w:ascii="Times New Roman" w:eastAsia="Times New Roman" w:hAnsi="Times New Roman" w:cs="Times New Roman"/>
          <w:color w:val="000000"/>
          <w:szCs w:val="24"/>
        </w:rPr>
        <w:t>–</w:t>
      </w:r>
      <w:r w:rsidRPr="00600AFD">
        <w:rPr>
          <w:rFonts w:ascii="Times New Roman" w:eastAsia="Times New Roman" w:hAnsi="Times New Roman" w:cs="Times New Roman"/>
          <w:color w:val="000000"/>
          <w:szCs w:val="24"/>
        </w:rPr>
        <w:t xml:space="preserve"> </w:t>
      </w:r>
      <w:r w:rsidR="00E97FBC" w:rsidRPr="00600AFD">
        <w:rPr>
          <w:rFonts w:ascii="Times New Roman" w:eastAsia="Times New Roman" w:hAnsi="Times New Roman" w:cs="Times New Roman"/>
          <w:color w:val="000000"/>
          <w:szCs w:val="24"/>
        </w:rPr>
        <w:t>other</w:t>
      </w:r>
      <w:r w:rsidRPr="00600AFD">
        <w:rPr>
          <w:rFonts w:ascii="Times New Roman" w:eastAsia="Times New Roman" w:hAnsi="Times New Roman" w:cs="Times New Roman"/>
          <w:color w:val="000000"/>
          <w:szCs w:val="24"/>
        </w:rPr>
        <w:t xml:space="preserve"> law, 13/16, 108/16</w:t>
      </w:r>
      <w:r w:rsidR="00D42885" w:rsidRPr="00600AFD">
        <w:rPr>
          <w:rFonts w:ascii="Times New Roman" w:eastAsia="Times New Roman" w:hAnsi="Times New Roman" w:cs="Times New Roman"/>
          <w:color w:val="000000"/>
          <w:szCs w:val="24"/>
        </w:rPr>
        <w:t xml:space="preserve">, </w:t>
      </w:r>
      <w:r w:rsidRPr="00600AFD">
        <w:rPr>
          <w:rFonts w:ascii="Times New Roman" w:eastAsia="Times New Roman" w:hAnsi="Times New Roman" w:cs="Times New Roman"/>
          <w:color w:val="000000"/>
          <w:szCs w:val="24"/>
        </w:rPr>
        <w:t>113/17</w:t>
      </w:r>
      <w:r w:rsidR="00D42885" w:rsidRPr="00600AFD">
        <w:rPr>
          <w:rFonts w:ascii="Times New Roman" w:eastAsia="Times New Roman" w:hAnsi="Times New Roman" w:cs="Times New Roman"/>
          <w:color w:val="000000"/>
          <w:szCs w:val="24"/>
        </w:rPr>
        <w:t xml:space="preserve">, 65/18 </w:t>
      </w:r>
      <w:r w:rsidR="000F3999">
        <w:rPr>
          <w:rFonts w:ascii="Times New Roman" w:eastAsia="Times New Roman" w:hAnsi="Times New Roman" w:cs="Times New Roman"/>
          <w:color w:val="000000"/>
          <w:szCs w:val="24"/>
        </w:rPr>
        <w:t>–</w:t>
      </w:r>
      <w:r w:rsidR="00D42885" w:rsidRPr="00600AFD">
        <w:rPr>
          <w:rFonts w:ascii="Times New Roman" w:eastAsia="Times New Roman" w:hAnsi="Times New Roman" w:cs="Times New Roman"/>
          <w:color w:val="000000"/>
          <w:szCs w:val="24"/>
        </w:rPr>
        <w:t xml:space="preserve"> Constitutional Court Decision, 87/18 and 88/18 </w:t>
      </w:r>
      <w:r w:rsidR="000F3999">
        <w:rPr>
          <w:rFonts w:ascii="Times New Roman" w:eastAsia="Times New Roman" w:hAnsi="Times New Roman" w:cs="Times New Roman"/>
          <w:color w:val="000000"/>
          <w:szCs w:val="24"/>
        </w:rPr>
        <w:t>–</w:t>
      </w:r>
      <w:r w:rsidR="00D42885" w:rsidRPr="00600AFD">
        <w:rPr>
          <w:rFonts w:ascii="Times New Roman" w:eastAsia="Times New Roman" w:hAnsi="Times New Roman" w:cs="Times New Roman"/>
          <w:color w:val="000000"/>
          <w:szCs w:val="24"/>
        </w:rPr>
        <w:t xml:space="preserve"> Constitutional Court Decision</w:t>
      </w:r>
      <w:r w:rsidRPr="00600AFD">
        <w:rPr>
          <w:rFonts w:ascii="Times New Roman" w:eastAsia="Times New Roman" w:hAnsi="Times New Roman" w:cs="Times New Roman"/>
          <w:color w:val="000000"/>
          <w:szCs w:val="24"/>
        </w:rPr>
        <w:t>.</w:t>
      </w:r>
    </w:p>
    <w:p w14:paraId="44BE27C4" w14:textId="5E6199B1"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Law on the High </w:t>
      </w:r>
      <w:r w:rsidR="00F814F9" w:rsidRPr="00600AFD">
        <w:rPr>
          <w:rFonts w:ascii="Times New Roman" w:eastAsia="Times New Roman" w:hAnsi="Times New Roman" w:cs="Times New Roman"/>
          <w:color w:val="000000"/>
          <w:szCs w:val="24"/>
        </w:rPr>
        <w:t>Court</w:t>
      </w:r>
      <w:r w:rsidRPr="00600AFD">
        <w:rPr>
          <w:rFonts w:ascii="Times New Roman" w:eastAsia="Times New Roman" w:hAnsi="Times New Roman" w:cs="Times New Roman"/>
          <w:color w:val="000000"/>
          <w:szCs w:val="24"/>
        </w:rPr>
        <w:t xml:space="preserve"> Council, </w:t>
      </w:r>
      <w:r w:rsidR="00D42885"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116/08, 101/10, 88/11 and 106/15.</w:t>
      </w:r>
    </w:p>
    <w:p w14:paraId="4E0861B9" w14:textId="2BB7ACCE" w:rsidR="0048621F" w:rsidRPr="00600AFD" w:rsidRDefault="0048621F" w:rsidP="004A2704">
      <w:pPr>
        <w:pStyle w:val="ListParagraph"/>
        <w:numPr>
          <w:ilvl w:val="0"/>
          <w:numId w:val="3"/>
        </w:numPr>
        <w:spacing w:after="0"/>
        <w:rPr>
          <w:rFonts w:ascii="Times New Roman" w:eastAsia="Times New Roman" w:hAnsi="Times New Roman" w:cs="Times New Roman"/>
          <w:color w:val="000000"/>
          <w:szCs w:val="24"/>
        </w:rPr>
      </w:pPr>
      <w:r w:rsidRPr="00600AFD">
        <w:rPr>
          <w:rFonts w:ascii="Times New Roman" w:eastAsia="Times New Roman" w:hAnsi="Times New Roman" w:cs="Times New Roman"/>
          <w:color w:val="000000"/>
          <w:szCs w:val="24"/>
        </w:rPr>
        <w:t xml:space="preserve">Criminal Procedure Code </w:t>
      </w:r>
      <w:r w:rsidR="00D42885" w:rsidRPr="00600AFD">
        <w:rPr>
          <w:rFonts w:ascii="Times New Roman" w:eastAsia="Times New Roman" w:hAnsi="Times New Roman" w:cs="Times New Roman"/>
          <w:color w:val="000000"/>
          <w:szCs w:val="24"/>
        </w:rPr>
        <w:t>“Official Gazette of the Republic of Serbia", no.</w:t>
      </w:r>
      <w:r w:rsidRPr="00600AFD">
        <w:rPr>
          <w:rFonts w:ascii="Times New Roman" w:eastAsia="Times New Roman" w:hAnsi="Times New Roman" w:cs="Times New Roman"/>
          <w:color w:val="000000"/>
          <w:szCs w:val="24"/>
        </w:rPr>
        <w:t xml:space="preserve"> 72/11, 101/11, 121/12, 32/13, 45/13 and 55/14.</w:t>
      </w:r>
    </w:p>
    <w:p w14:paraId="7B996EC1" w14:textId="61EF3006" w:rsidR="0048621F" w:rsidRPr="004A2704" w:rsidRDefault="008E5DFB" w:rsidP="004A2704">
      <w:pPr>
        <w:pStyle w:val="ListParagraph"/>
        <w:numPr>
          <w:ilvl w:val="0"/>
          <w:numId w:val="3"/>
        </w:numPr>
        <w:spacing w:after="0"/>
        <w:rPr>
          <w:rFonts w:ascii="Times New Roman" w:hAnsi="Times New Roman" w:cs="Times New Roman"/>
          <w:szCs w:val="24"/>
        </w:rPr>
      </w:pPr>
      <w:r w:rsidRPr="00600AFD">
        <w:rPr>
          <w:rFonts w:ascii="Times New Roman" w:eastAsia="Times New Roman" w:hAnsi="Times New Roman" w:cs="Times New Roman"/>
          <w:color w:val="000000"/>
          <w:szCs w:val="24"/>
        </w:rPr>
        <w:t xml:space="preserve">Information Society Development </w:t>
      </w:r>
      <w:r w:rsidR="0048621F" w:rsidRPr="00600AFD">
        <w:rPr>
          <w:rFonts w:ascii="Times New Roman" w:eastAsia="Times New Roman" w:hAnsi="Times New Roman" w:cs="Times New Roman"/>
          <w:color w:val="000000"/>
          <w:szCs w:val="24"/>
        </w:rPr>
        <w:t xml:space="preserve">Strategy in the Republic of Serbia until </w:t>
      </w:r>
      <w:r w:rsidR="00A05C08" w:rsidRPr="00600AFD">
        <w:rPr>
          <w:rFonts w:ascii="Times New Roman" w:eastAsia="Times New Roman" w:hAnsi="Times New Roman" w:cs="Times New Roman"/>
          <w:color w:val="000000"/>
          <w:szCs w:val="24"/>
        </w:rPr>
        <w:t xml:space="preserve">Year </w:t>
      </w:r>
      <w:r w:rsidR="0048621F" w:rsidRPr="00600AFD">
        <w:rPr>
          <w:rFonts w:ascii="Times New Roman" w:eastAsia="Times New Roman" w:hAnsi="Times New Roman" w:cs="Times New Roman"/>
          <w:color w:val="000000"/>
          <w:szCs w:val="24"/>
        </w:rPr>
        <w:t xml:space="preserve">2020, </w:t>
      </w:r>
      <w:r w:rsidRPr="00600AFD">
        <w:rPr>
          <w:rFonts w:ascii="Times New Roman" w:eastAsia="Times New Roman" w:hAnsi="Times New Roman" w:cs="Times New Roman"/>
          <w:color w:val="000000"/>
          <w:szCs w:val="24"/>
        </w:rPr>
        <w:t xml:space="preserve">“Official Gazette of the Republic of Serbia", no. </w:t>
      </w:r>
      <w:r w:rsidR="0048621F" w:rsidRPr="00600AFD">
        <w:rPr>
          <w:rFonts w:ascii="Times New Roman" w:eastAsia="Times New Roman" w:hAnsi="Times New Roman" w:cs="Times New Roman"/>
          <w:color w:val="000000"/>
          <w:szCs w:val="24"/>
        </w:rPr>
        <w:t>51/2010.</w:t>
      </w:r>
    </w:p>
    <w:p w14:paraId="3012460D" w14:textId="77777777" w:rsidR="004A2704" w:rsidRPr="004A2704" w:rsidRDefault="004A2704" w:rsidP="004A2704">
      <w:pPr>
        <w:spacing w:after="0"/>
        <w:rPr>
          <w:rFonts w:ascii="Times New Roman" w:hAnsi="Times New Roman" w:cs="Times New Roman"/>
          <w:szCs w:val="24"/>
        </w:rPr>
      </w:pPr>
    </w:p>
    <w:p w14:paraId="3C038BE5" w14:textId="77777777" w:rsidR="008430CF" w:rsidRPr="00600AFD" w:rsidRDefault="00241BF7" w:rsidP="004A2704">
      <w:pPr>
        <w:pStyle w:val="FootnoteText"/>
        <w:numPr>
          <w:ilvl w:val="0"/>
          <w:numId w:val="1"/>
        </w:numPr>
        <w:ind w:left="426" w:hanging="426"/>
        <w:rPr>
          <w:rFonts w:ascii="Times New Roman" w:hAnsi="Times New Roman" w:cs="Times New Roman"/>
          <w:b/>
          <w:sz w:val="24"/>
          <w:szCs w:val="24"/>
        </w:rPr>
      </w:pPr>
      <w:r w:rsidRPr="00600AFD">
        <w:rPr>
          <w:rFonts w:ascii="Times New Roman" w:hAnsi="Times New Roman" w:cs="Times New Roman"/>
          <w:b/>
          <w:sz w:val="24"/>
          <w:szCs w:val="24"/>
        </w:rPr>
        <w:t>Sources of relevant international standards</w:t>
      </w:r>
    </w:p>
    <w:p w14:paraId="6F1AB245" w14:textId="77777777" w:rsidR="008430CF" w:rsidRPr="00600AFD" w:rsidRDefault="008430CF" w:rsidP="004A2704">
      <w:pPr>
        <w:pStyle w:val="FootnoteText"/>
        <w:ind w:left="426" w:hanging="426"/>
        <w:rPr>
          <w:rFonts w:ascii="Times New Roman" w:hAnsi="Times New Roman" w:cs="Times New Roman"/>
          <w:b/>
          <w:sz w:val="24"/>
          <w:szCs w:val="24"/>
        </w:rPr>
      </w:pPr>
    </w:p>
    <w:p w14:paraId="6E35F85A" w14:textId="73B376A5" w:rsidR="004A085E" w:rsidRPr="00600AFD" w:rsidRDefault="004A085E"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 xml:space="preserve">Consultative Council of European Judges, Opinion No. 18 (2015) The position of the judiciary and its </w:t>
      </w:r>
      <w:proofErr w:type="gramStart"/>
      <w:r w:rsidRPr="00600AFD">
        <w:rPr>
          <w:rFonts w:ascii="Times New Roman" w:hAnsi="Times New Roman" w:cs="Times New Roman"/>
          <w:szCs w:val="24"/>
        </w:rPr>
        <w:t>relation</w:t>
      </w:r>
      <w:proofErr w:type="gramEnd"/>
      <w:r w:rsidRPr="00600AFD">
        <w:rPr>
          <w:rFonts w:ascii="Times New Roman" w:hAnsi="Times New Roman" w:cs="Times New Roman"/>
          <w:szCs w:val="24"/>
        </w:rPr>
        <w:t xml:space="preserve"> with the other powers of state in a modern democracy, London, October </w:t>
      </w:r>
      <w:r w:rsidR="00A05C08" w:rsidRPr="00600AFD">
        <w:rPr>
          <w:rFonts w:ascii="Times New Roman" w:hAnsi="Times New Roman" w:cs="Times New Roman"/>
          <w:szCs w:val="24"/>
        </w:rPr>
        <w:t xml:space="preserve">16, </w:t>
      </w:r>
      <w:r w:rsidRPr="00600AFD">
        <w:rPr>
          <w:rFonts w:ascii="Times New Roman" w:hAnsi="Times New Roman" w:cs="Times New Roman"/>
          <w:szCs w:val="24"/>
        </w:rPr>
        <w:t xml:space="preserve">2015. </w:t>
      </w:r>
    </w:p>
    <w:p w14:paraId="27857521" w14:textId="46DB9DB0" w:rsidR="004A085E" w:rsidRPr="00600AFD" w:rsidRDefault="004A085E"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bCs/>
          <w:szCs w:val="24"/>
        </w:rPr>
        <w:t xml:space="preserve">Consultative Council </w:t>
      </w:r>
      <w:r w:rsidR="006041C0" w:rsidRPr="00600AFD">
        <w:rPr>
          <w:rFonts w:ascii="Times New Roman" w:hAnsi="Times New Roman" w:cs="Times New Roman"/>
          <w:bCs/>
          <w:szCs w:val="24"/>
        </w:rPr>
        <w:t>of</w:t>
      </w:r>
      <w:r w:rsidRPr="00600AFD">
        <w:rPr>
          <w:rFonts w:ascii="Times New Roman" w:hAnsi="Times New Roman" w:cs="Times New Roman"/>
          <w:bCs/>
          <w:szCs w:val="24"/>
        </w:rPr>
        <w:t xml:space="preserve"> European Judges</w:t>
      </w:r>
      <w:r w:rsidRPr="00600AFD">
        <w:rPr>
          <w:rFonts w:ascii="Times New Roman" w:hAnsi="Times New Roman" w:cs="Times New Roman"/>
          <w:szCs w:val="24"/>
        </w:rPr>
        <w:t xml:space="preserve"> </w:t>
      </w:r>
      <w:r w:rsidRPr="00600AFD">
        <w:rPr>
          <w:rFonts w:ascii="Times New Roman" w:hAnsi="Times New Roman" w:cs="Times New Roman"/>
          <w:bCs/>
          <w:szCs w:val="24"/>
        </w:rPr>
        <w:t>(CCJE)</w:t>
      </w:r>
      <w:r w:rsidRPr="00600AFD">
        <w:rPr>
          <w:rFonts w:ascii="Times New Roman" w:hAnsi="Times New Roman" w:cs="Times New Roman"/>
          <w:szCs w:val="24"/>
        </w:rPr>
        <w:t xml:space="preserve">, </w:t>
      </w:r>
      <w:r w:rsidRPr="00600AFD">
        <w:rPr>
          <w:rFonts w:ascii="Times New Roman" w:hAnsi="Times New Roman" w:cs="Times New Roman"/>
          <w:bCs/>
          <w:i/>
          <w:szCs w:val="24"/>
        </w:rPr>
        <w:t>Opinion No 1 (2001)</w:t>
      </w:r>
      <w:r w:rsidRPr="00600AFD">
        <w:rPr>
          <w:rFonts w:ascii="Times New Roman" w:hAnsi="Times New Roman" w:cs="Times New Roman"/>
          <w:i/>
          <w:szCs w:val="24"/>
        </w:rPr>
        <w:t xml:space="preserve"> </w:t>
      </w:r>
      <w:r w:rsidRPr="00600AFD">
        <w:rPr>
          <w:rFonts w:ascii="Times New Roman" w:hAnsi="Times New Roman" w:cs="Times New Roman"/>
          <w:bCs/>
          <w:i/>
          <w:szCs w:val="24"/>
        </w:rPr>
        <w:t>of the Consultative Council of European Judges (CCJE)</w:t>
      </w:r>
      <w:r w:rsidRPr="00600AFD">
        <w:rPr>
          <w:rFonts w:ascii="Times New Roman" w:hAnsi="Times New Roman" w:cs="Times New Roman"/>
          <w:i/>
          <w:szCs w:val="24"/>
        </w:rPr>
        <w:t xml:space="preserve"> </w:t>
      </w:r>
      <w:r w:rsidRPr="00600AFD">
        <w:rPr>
          <w:rFonts w:ascii="Times New Roman" w:hAnsi="Times New Roman" w:cs="Times New Roman"/>
          <w:bCs/>
          <w:i/>
          <w:szCs w:val="24"/>
        </w:rPr>
        <w:t>for the Attention of the Committee of Ministers</w:t>
      </w:r>
      <w:r w:rsidRPr="00600AFD">
        <w:rPr>
          <w:rFonts w:ascii="Times New Roman" w:hAnsi="Times New Roman" w:cs="Times New Roman"/>
          <w:i/>
          <w:szCs w:val="24"/>
        </w:rPr>
        <w:t xml:space="preserve"> o</w:t>
      </w:r>
      <w:r w:rsidRPr="00600AFD">
        <w:rPr>
          <w:rFonts w:ascii="Times New Roman" w:hAnsi="Times New Roman" w:cs="Times New Roman"/>
          <w:bCs/>
          <w:i/>
          <w:szCs w:val="24"/>
        </w:rPr>
        <w:t>f the Council of Europe</w:t>
      </w:r>
      <w:r w:rsidRPr="00600AFD">
        <w:rPr>
          <w:rFonts w:ascii="Times New Roman" w:hAnsi="Times New Roman" w:cs="Times New Roman"/>
          <w:i/>
          <w:szCs w:val="24"/>
        </w:rPr>
        <w:t xml:space="preserve"> o</w:t>
      </w:r>
      <w:r w:rsidRPr="00600AFD">
        <w:rPr>
          <w:rFonts w:ascii="Times New Roman" w:hAnsi="Times New Roman" w:cs="Times New Roman"/>
          <w:bCs/>
          <w:i/>
          <w:szCs w:val="24"/>
        </w:rPr>
        <w:t>n Standards</w:t>
      </w:r>
      <w:r w:rsidRPr="00600AFD">
        <w:rPr>
          <w:rFonts w:ascii="Times New Roman" w:hAnsi="Times New Roman" w:cs="Times New Roman"/>
          <w:i/>
          <w:szCs w:val="24"/>
        </w:rPr>
        <w:t xml:space="preserve"> </w:t>
      </w:r>
      <w:r w:rsidRPr="00600AFD">
        <w:rPr>
          <w:rFonts w:ascii="Times New Roman" w:hAnsi="Times New Roman" w:cs="Times New Roman"/>
          <w:bCs/>
          <w:i/>
          <w:szCs w:val="24"/>
        </w:rPr>
        <w:t>Concerning the Independence of the Judiciary</w:t>
      </w:r>
      <w:r w:rsidRPr="00600AFD">
        <w:rPr>
          <w:rFonts w:ascii="Times New Roman" w:hAnsi="Times New Roman" w:cs="Times New Roman"/>
          <w:i/>
          <w:szCs w:val="24"/>
        </w:rPr>
        <w:t xml:space="preserve"> </w:t>
      </w:r>
      <w:r w:rsidRPr="00600AFD">
        <w:rPr>
          <w:rFonts w:ascii="Times New Roman" w:hAnsi="Times New Roman" w:cs="Times New Roman"/>
          <w:bCs/>
          <w:i/>
          <w:szCs w:val="24"/>
        </w:rPr>
        <w:t xml:space="preserve">and the </w:t>
      </w:r>
      <w:proofErr w:type="spellStart"/>
      <w:r w:rsidRPr="00600AFD">
        <w:rPr>
          <w:rFonts w:ascii="Times New Roman" w:hAnsi="Times New Roman" w:cs="Times New Roman"/>
          <w:bCs/>
          <w:i/>
          <w:szCs w:val="24"/>
        </w:rPr>
        <w:t>Irremovability</w:t>
      </w:r>
      <w:proofErr w:type="spellEnd"/>
      <w:r w:rsidRPr="00600AFD">
        <w:rPr>
          <w:rFonts w:ascii="Times New Roman" w:hAnsi="Times New Roman" w:cs="Times New Roman"/>
          <w:bCs/>
          <w:szCs w:val="24"/>
        </w:rPr>
        <w:t xml:space="preserve"> of Judges, </w:t>
      </w:r>
      <w:r w:rsidRPr="00600AFD">
        <w:rPr>
          <w:rFonts w:ascii="Times New Roman" w:hAnsi="Times New Roman" w:cs="Times New Roman"/>
          <w:szCs w:val="24"/>
          <w:shd w:val="clear" w:color="auto" w:fill="FFFFFF"/>
        </w:rPr>
        <w:t xml:space="preserve">Strasbourg, November </w:t>
      </w:r>
      <w:r w:rsidR="00A05C08" w:rsidRPr="00600AFD">
        <w:rPr>
          <w:rFonts w:ascii="Times New Roman" w:hAnsi="Times New Roman" w:cs="Times New Roman"/>
          <w:szCs w:val="24"/>
          <w:shd w:val="clear" w:color="auto" w:fill="FFFFFF"/>
        </w:rPr>
        <w:t xml:space="preserve">23, </w:t>
      </w:r>
      <w:r w:rsidRPr="00600AFD">
        <w:rPr>
          <w:rFonts w:ascii="Times New Roman" w:hAnsi="Times New Roman" w:cs="Times New Roman"/>
          <w:szCs w:val="24"/>
          <w:shd w:val="clear" w:color="auto" w:fill="FFFFFF"/>
        </w:rPr>
        <w:t xml:space="preserve">2001; </w:t>
      </w:r>
    </w:p>
    <w:p w14:paraId="45EB4423" w14:textId="7B5B83C2" w:rsidR="004A085E" w:rsidRPr="00600AFD" w:rsidRDefault="004A085E"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bCs/>
          <w:szCs w:val="24"/>
        </w:rPr>
        <w:t xml:space="preserve">Consultative Council of European Judges (CCJE), </w:t>
      </w:r>
      <w:r w:rsidRPr="00600AFD">
        <w:rPr>
          <w:rFonts w:ascii="Times New Roman" w:hAnsi="Times New Roman" w:cs="Times New Roman"/>
          <w:bCs/>
          <w:i/>
          <w:szCs w:val="24"/>
        </w:rPr>
        <w:t>Opinion no.10(2007) of the Consultative Council of European Judges (CCJE) to the attention of the Committee of Ministers of the Council of Europe on the Council for the Judiciary at the service of society</w:t>
      </w:r>
      <w:r w:rsidRPr="00600AFD">
        <w:rPr>
          <w:rFonts w:ascii="Times New Roman" w:hAnsi="Times New Roman" w:cs="Times New Roman"/>
          <w:bCs/>
          <w:szCs w:val="24"/>
        </w:rPr>
        <w:t xml:space="preserve">, </w:t>
      </w:r>
      <w:r w:rsidRPr="00600AFD">
        <w:rPr>
          <w:rFonts w:ascii="Times New Roman" w:hAnsi="Times New Roman" w:cs="Times New Roman"/>
          <w:szCs w:val="24"/>
        </w:rPr>
        <w:t>adopted by the CCJE at its 8th meeting (Strasbourg, 21</w:t>
      </w:r>
      <w:r w:rsidR="000F3999">
        <w:rPr>
          <w:rFonts w:ascii="Times New Roman" w:hAnsi="Times New Roman" w:cs="Times New Roman"/>
          <w:szCs w:val="24"/>
        </w:rPr>
        <w:t>–</w:t>
      </w:r>
      <w:r w:rsidRPr="00600AFD">
        <w:rPr>
          <w:rFonts w:ascii="Times New Roman" w:hAnsi="Times New Roman" w:cs="Times New Roman"/>
          <w:szCs w:val="24"/>
        </w:rPr>
        <w:t xml:space="preserve">23 November 2007; </w:t>
      </w:r>
    </w:p>
    <w:p w14:paraId="6DA1C1B0" w14:textId="77777777" w:rsidR="004A085E" w:rsidRPr="00600AFD" w:rsidRDefault="004A085E"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bCs/>
          <w:i/>
          <w:szCs w:val="24"/>
          <w:shd w:val="clear" w:color="auto" w:fill="FFFFFF"/>
        </w:rPr>
        <w:t>Consultative Council of European Judges, Magna Carta of Judges</w:t>
      </w:r>
      <w:r w:rsidRPr="00600AFD">
        <w:rPr>
          <w:rFonts w:ascii="Times New Roman" w:hAnsi="Times New Roman" w:cs="Times New Roman"/>
          <w:bCs/>
          <w:szCs w:val="24"/>
          <w:shd w:val="clear" w:color="auto" w:fill="FFFFFF"/>
        </w:rPr>
        <w:t xml:space="preserve">, </w:t>
      </w:r>
      <w:r w:rsidRPr="00600AFD">
        <w:rPr>
          <w:rFonts w:ascii="Times New Roman" w:hAnsi="Times New Roman" w:cs="Times New Roman"/>
          <w:szCs w:val="24"/>
          <w:shd w:val="clear" w:color="auto" w:fill="FFFFFF"/>
        </w:rPr>
        <w:t xml:space="preserve">Strasbourg, 17 November 2010 CCJE (2010)3; </w:t>
      </w:r>
      <w:r w:rsidRPr="00600AFD">
        <w:rPr>
          <w:rFonts w:ascii="Times New Roman" w:hAnsi="Times New Roman" w:cs="Times New Roman"/>
          <w:szCs w:val="24"/>
        </w:rPr>
        <w:t xml:space="preserve">Council of Europe Committee of Ministers </w:t>
      </w:r>
      <w:r w:rsidRPr="00600AFD">
        <w:rPr>
          <w:rFonts w:ascii="Times New Roman" w:hAnsi="Times New Roman" w:cs="Times New Roman"/>
          <w:i/>
          <w:szCs w:val="24"/>
        </w:rPr>
        <w:t>Recommendation No. R (94) 12 of the Committee of Ministers to Member States on the Independence, Efficiency and Role of Judges</w:t>
      </w:r>
      <w:r w:rsidRPr="00600AFD">
        <w:rPr>
          <w:rFonts w:ascii="Times New Roman" w:hAnsi="Times New Roman" w:cs="Times New Roman"/>
          <w:szCs w:val="24"/>
        </w:rPr>
        <w:t xml:space="preserve"> (Adopted by the Committee of Ministers on 13 October 1994 at the 518th meeting of the Ministers' Deputies); </w:t>
      </w:r>
    </w:p>
    <w:p w14:paraId="71906802" w14:textId="77777777" w:rsidR="00721F5E" w:rsidRPr="00600AFD" w:rsidRDefault="00E23EEB"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Charter of Fundamental Rights of the European Union (2000/C 364/01);</w:t>
      </w:r>
    </w:p>
    <w:p w14:paraId="4BF3044B" w14:textId="34C1AD1B" w:rsidR="00D754FE" w:rsidRPr="00600AFD" w:rsidRDefault="00D754FE"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European Commission for Democracy through Law (Venice Commission), CDL</w:t>
      </w:r>
      <w:r w:rsidR="000F3999">
        <w:rPr>
          <w:rFonts w:ascii="Times New Roman" w:hAnsi="Times New Roman" w:cs="Times New Roman"/>
          <w:szCs w:val="24"/>
        </w:rPr>
        <w:t>–</w:t>
      </w:r>
      <w:proofErr w:type="gramStart"/>
      <w:r w:rsidRPr="00600AFD">
        <w:rPr>
          <w:rFonts w:ascii="Times New Roman" w:hAnsi="Times New Roman" w:cs="Times New Roman"/>
          <w:szCs w:val="24"/>
        </w:rPr>
        <w:t>AD(</w:t>
      </w:r>
      <w:proofErr w:type="gramEnd"/>
      <w:r w:rsidRPr="00600AFD">
        <w:rPr>
          <w:rFonts w:ascii="Times New Roman" w:hAnsi="Times New Roman" w:cs="Times New Roman"/>
          <w:szCs w:val="24"/>
        </w:rPr>
        <w:t>2007)004, Opinion on the Constitution of Serbia, Adopted by The Venice Commission at its 70th Plenary Session (Venice, 17</w:t>
      </w:r>
      <w:r w:rsidR="000F3999">
        <w:rPr>
          <w:rFonts w:ascii="Times New Roman" w:hAnsi="Times New Roman" w:cs="Times New Roman"/>
          <w:szCs w:val="24"/>
        </w:rPr>
        <w:t>–</w:t>
      </w:r>
      <w:r w:rsidRPr="00600AFD">
        <w:rPr>
          <w:rFonts w:ascii="Times New Roman" w:hAnsi="Times New Roman" w:cs="Times New Roman"/>
          <w:szCs w:val="24"/>
        </w:rPr>
        <w:t>18 March 2007);</w:t>
      </w:r>
    </w:p>
    <w:p w14:paraId="44F89CEB" w14:textId="688F874B" w:rsidR="00D754FE" w:rsidRPr="004A4641" w:rsidRDefault="001D1136"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i/>
          <w:szCs w:val="24"/>
        </w:rPr>
        <w:t xml:space="preserve">The European Commission for the </w:t>
      </w:r>
      <w:r w:rsidR="004A4641" w:rsidRPr="00600AFD">
        <w:rPr>
          <w:rFonts w:ascii="Times New Roman" w:hAnsi="Times New Roman" w:cs="Times New Roman"/>
          <w:i/>
          <w:szCs w:val="24"/>
        </w:rPr>
        <w:t>Efficiency</w:t>
      </w:r>
      <w:r w:rsidRPr="00600AFD">
        <w:rPr>
          <w:rFonts w:ascii="Times New Roman" w:hAnsi="Times New Roman" w:cs="Times New Roman"/>
          <w:i/>
          <w:szCs w:val="24"/>
        </w:rPr>
        <w:t xml:space="preserve"> of Justice</w:t>
      </w:r>
      <w:r w:rsidRPr="00600AFD" w:rsidDel="001D1136">
        <w:rPr>
          <w:rFonts w:ascii="Times New Roman" w:hAnsi="Times New Roman" w:cs="Times New Roman"/>
          <w:szCs w:val="24"/>
        </w:rPr>
        <w:t xml:space="preserve"> </w:t>
      </w:r>
      <w:r w:rsidR="000F3999">
        <w:rPr>
          <w:rFonts w:ascii="Times New Roman" w:hAnsi="Times New Roman" w:cs="Times New Roman"/>
          <w:szCs w:val="24"/>
        </w:rPr>
        <w:t>–</w:t>
      </w:r>
      <w:r w:rsidR="00D754FE" w:rsidRPr="00600AFD">
        <w:rPr>
          <w:rFonts w:ascii="Times New Roman" w:hAnsi="Times New Roman" w:cs="Times New Roman"/>
          <w:b/>
          <w:bCs/>
          <w:szCs w:val="24"/>
          <w:shd w:val="clear" w:color="auto" w:fill="FFFFFF"/>
        </w:rPr>
        <w:t xml:space="preserve"> </w:t>
      </w:r>
      <w:r w:rsidR="00D754FE" w:rsidRPr="00600AFD">
        <w:rPr>
          <w:rFonts w:ascii="Times New Roman" w:hAnsi="Times New Roman" w:cs="Times New Roman"/>
          <w:bCs/>
          <w:i/>
          <w:szCs w:val="24"/>
          <w:shd w:val="clear" w:color="auto" w:fill="FFFFFF"/>
        </w:rPr>
        <w:t xml:space="preserve">Commission </w:t>
      </w:r>
      <w:proofErr w:type="spellStart"/>
      <w:r w:rsidR="004A4641">
        <w:rPr>
          <w:rFonts w:ascii="Times New Roman" w:hAnsi="Times New Roman" w:cs="Times New Roman"/>
          <w:bCs/>
          <w:i/>
          <w:szCs w:val="24"/>
          <w:shd w:val="clear" w:color="auto" w:fill="FFFFFF"/>
        </w:rPr>
        <w:t>E</w:t>
      </w:r>
      <w:r w:rsidR="00D754FE" w:rsidRPr="00600AFD">
        <w:rPr>
          <w:rFonts w:ascii="Times New Roman" w:hAnsi="Times New Roman" w:cs="Times New Roman"/>
          <w:bCs/>
          <w:i/>
          <w:szCs w:val="24"/>
          <w:shd w:val="clear" w:color="auto" w:fill="FFFFFF"/>
        </w:rPr>
        <w:t>uropéenne</w:t>
      </w:r>
      <w:proofErr w:type="spellEnd"/>
      <w:r w:rsidR="00D754FE" w:rsidRPr="00600AFD">
        <w:rPr>
          <w:rFonts w:ascii="Times New Roman" w:hAnsi="Times New Roman" w:cs="Times New Roman"/>
          <w:bCs/>
          <w:i/>
          <w:szCs w:val="24"/>
          <w:shd w:val="clear" w:color="auto" w:fill="FFFFFF"/>
        </w:rPr>
        <w:t xml:space="preserve"> pour </w:t>
      </w:r>
      <w:proofErr w:type="spellStart"/>
      <w:r w:rsidR="00D754FE" w:rsidRPr="00600AFD">
        <w:rPr>
          <w:rFonts w:ascii="Times New Roman" w:hAnsi="Times New Roman" w:cs="Times New Roman"/>
          <w:bCs/>
          <w:i/>
          <w:szCs w:val="24"/>
          <w:shd w:val="clear" w:color="auto" w:fill="FFFFFF"/>
        </w:rPr>
        <w:t>l'efficacité</w:t>
      </w:r>
      <w:proofErr w:type="spellEnd"/>
      <w:r w:rsidR="00D754FE" w:rsidRPr="00600AFD">
        <w:rPr>
          <w:rFonts w:ascii="Times New Roman" w:hAnsi="Times New Roman" w:cs="Times New Roman"/>
          <w:bCs/>
          <w:i/>
          <w:szCs w:val="24"/>
          <w:shd w:val="clear" w:color="auto" w:fill="FFFFFF"/>
        </w:rPr>
        <w:t xml:space="preserve"> de la justice</w:t>
      </w:r>
      <w:r w:rsidR="00D754FE" w:rsidRPr="00600AFD">
        <w:rPr>
          <w:rFonts w:ascii="Times New Roman" w:hAnsi="Times New Roman" w:cs="Times New Roman"/>
          <w:szCs w:val="24"/>
        </w:rPr>
        <w:t xml:space="preserve"> </w:t>
      </w:r>
      <w:r w:rsidR="000F3999">
        <w:rPr>
          <w:rFonts w:ascii="Times New Roman" w:hAnsi="Times New Roman" w:cs="Times New Roman"/>
          <w:szCs w:val="24"/>
        </w:rPr>
        <w:t>–</w:t>
      </w:r>
      <w:r w:rsidR="00D754FE" w:rsidRPr="00600AFD">
        <w:rPr>
          <w:rFonts w:ascii="Times New Roman" w:hAnsi="Times New Roman" w:cs="Times New Roman"/>
          <w:szCs w:val="24"/>
        </w:rPr>
        <w:t xml:space="preserve"> (2014): </w:t>
      </w:r>
      <w:r w:rsidR="00D754FE" w:rsidRPr="00600AFD">
        <w:rPr>
          <w:rFonts w:ascii="Times New Roman" w:hAnsi="Times New Roman" w:cs="Times New Roman"/>
          <w:i/>
          <w:szCs w:val="24"/>
        </w:rPr>
        <w:t>Report on European judicial systems – Edition 2014 (2012 data): efficiency and quality of justice.</w:t>
      </w:r>
    </w:p>
    <w:p w14:paraId="65463D5B" w14:textId="4A50547D" w:rsidR="004A4641" w:rsidRDefault="004A4641" w:rsidP="004A4641">
      <w:pPr>
        <w:spacing w:after="0"/>
        <w:rPr>
          <w:rFonts w:ascii="Times New Roman" w:hAnsi="Times New Roman" w:cs="Times New Roman"/>
          <w:szCs w:val="24"/>
        </w:rPr>
      </w:pPr>
    </w:p>
    <w:p w14:paraId="06C60D1D" w14:textId="77777777" w:rsidR="004A4641" w:rsidRPr="004A4641" w:rsidRDefault="004A4641" w:rsidP="004A4641">
      <w:pPr>
        <w:spacing w:after="0"/>
        <w:rPr>
          <w:rFonts w:ascii="Times New Roman" w:hAnsi="Times New Roman" w:cs="Times New Roman"/>
          <w:szCs w:val="24"/>
        </w:rPr>
      </w:pPr>
    </w:p>
    <w:p w14:paraId="10A8BDE3" w14:textId="053F4D92" w:rsidR="007A512F" w:rsidRPr="00600AFD" w:rsidRDefault="00DF25AC"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i/>
          <w:szCs w:val="24"/>
        </w:rPr>
        <w:lastRenderedPageBreak/>
        <w:t xml:space="preserve">The European Commission for the </w:t>
      </w:r>
      <w:r w:rsidR="004A4641" w:rsidRPr="00600AFD">
        <w:rPr>
          <w:rFonts w:ascii="Times New Roman" w:hAnsi="Times New Roman" w:cs="Times New Roman"/>
          <w:i/>
          <w:szCs w:val="24"/>
        </w:rPr>
        <w:t>Efficiency</w:t>
      </w:r>
      <w:r w:rsidRPr="00600AFD">
        <w:rPr>
          <w:rFonts w:ascii="Times New Roman" w:hAnsi="Times New Roman" w:cs="Times New Roman"/>
          <w:i/>
          <w:szCs w:val="24"/>
        </w:rPr>
        <w:t xml:space="preserve"> of Justice</w:t>
      </w:r>
      <w:r w:rsidRPr="00600AFD" w:rsidDel="00DF25AC">
        <w:rPr>
          <w:rFonts w:ascii="Times New Roman" w:hAnsi="Times New Roman" w:cs="Times New Roman"/>
          <w:szCs w:val="24"/>
        </w:rPr>
        <w:t xml:space="preserve"> </w:t>
      </w:r>
      <w:r w:rsidR="000F3999">
        <w:rPr>
          <w:rFonts w:ascii="Times New Roman" w:hAnsi="Times New Roman" w:cs="Times New Roman"/>
          <w:szCs w:val="24"/>
        </w:rPr>
        <w:t>–</w:t>
      </w:r>
      <w:r w:rsidR="00D754FE" w:rsidRPr="00600AFD">
        <w:rPr>
          <w:rFonts w:ascii="Times New Roman" w:hAnsi="Times New Roman" w:cs="Times New Roman"/>
          <w:b/>
          <w:bCs/>
          <w:szCs w:val="24"/>
          <w:shd w:val="clear" w:color="auto" w:fill="FFFFFF"/>
        </w:rPr>
        <w:t xml:space="preserve"> </w:t>
      </w:r>
      <w:r w:rsidR="00D754FE" w:rsidRPr="00600AFD">
        <w:rPr>
          <w:rFonts w:ascii="Times New Roman" w:hAnsi="Times New Roman" w:cs="Times New Roman"/>
          <w:bCs/>
          <w:i/>
          <w:szCs w:val="24"/>
          <w:shd w:val="clear" w:color="auto" w:fill="FFFFFF"/>
        </w:rPr>
        <w:t xml:space="preserve">Commission </w:t>
      </w:r>
      <w:proofErr w:type="spellStart"/>
      <w:r w:rsidR="004A4641">
        <w:rPr>
          <w:rFonts w:ascii="Times New Roman" w:hAnsi="Times New Roman" w:cs="Times New Roman"/>
          <w:bCs/>
          <w:i/>
          <w:szCs w:val="24"/>
          <w:shd w:val="clear" w:color="auto" w:fill="FFFFFF"/>
        </w:rPr>
        <w:t>E</w:t>
      </w:r>
      <w:r w:rsidR="00D754FE" w:rsidRPr="00600AFD">
        <w:rPr>
          <w:rFonts w:ascii="Times New Roman" w:hAnsi="Times New Roman" w:cs="Times New Roman"/>
          <w:bCs/>
          <w:i/>
          <w:szCs w:val="24"/>
          <w:shd w:val="clear" w:color="auto" w:fill="FFFFFF"/>
        </w:rPr>
        <w:t>uropéenne</w:t>
      </w:r>
      <w:proofErr w:type="spellEnd"/>
      <w:r w:rsidR="00D754FE" w:rsidRPr="00600AFD">
        <w:rPr>
          <w:rFonts w:ascii="Times New Roman" w:hAnsi="Times New Roman" w:cs="Times New Roman"/>
          <w:bCs/>
          <w:i/>
          <w:szCs w:val="24"/>
          <w:shd w:val="clear" w:color="auto" w:fill="FFFFFF"/>
        </w:rPr>
        <w:t xml:space="preserve"> pour </w:t>
      </w:r>
      <w:proofErr w:type="spellStart"/>
      <w:r w:rsidR="00D754FE" w:rsidRPr="00600AFD">
        <w:rPr>
          <w:rFonts w:ascii="Times New Roman" w:hAnsi="Times New Roman" w:cs="Times New Roman"/>
          <w:bCs/>
          <w:i/>
          <w:szCs w:val="24"/>
          <w:shd w:val="clear" w:color="auto" w:fill="FFFFFF"/>
        </w:rPr>
        <w:t>l'efficacité</w:t>
      </w:r>
      <w:proofErr w:type="spellEnd"/>
      <w:r w:rsidR="00D754FE" w:rsidRPr="00600AFD">
        <w:rPr>
          <w:rFonts w:ascii="Times New Roman" w:hAnsi="Times New Roman" w:cs="Times New Roman"/>
          <w:bCs/>
          <w:i/>
          <w:szCs w:val="24"/>
          <w:shd w:val="clear" w:color="auto" w:fill="FFFFFF"/>
        </w:rPr>
        <w:t xml:space="preserve"> de la justice</w:t>
      </w:r>
      <w:r w:rsidR="00D754FE" w:rsidRPr="00600AFD">
        <w:rPr>
          <w:rFonts w:ascii="Times New Roman" w:hAnsi="Times New Roman" w:cs="Times New Roman"/>
          <w:szCs w:val="24"/>
        </w:rPr>
        <w:t xml:space="preserve"> </w:t>
      </w:r>
      <w:r w:rsidR="000F3999">
        <w:rPr>
          <w:rFonts w:ascii="Times New Roman" w:hAnsi="Times New Roman" w:cs="Times New Roman"/>
          <w:szCs w:val="24"/>
        </w:rPr>
        <w:t>–</w:t>
      </w:r>
      <w:r w:rsidR="00D754FE" w:rsidRPr="00600AFD">
        <w:rPr>
          <w:rFonts w:ascii="Times New Roman" w:hAnsi="Times New Roman" w:cs="Times New Roman"/>
          <w:szCs w:val="24"/>
        </w:rPr>
        <w:t xml:space="preserve"> (2016): </w:t>
      </w:r>
      <w:r w:rsidR="00D754FE" w:rsidRPr="00600AFD">
        <w:rPr>
          <w:rFonts w:ascii="Times New Roman" w:hAnsi="Times New Roman" w:cs="Times New Roman"/>
          <w:i/>
          <w:szCs w:val="24"/>
        </w:rPr>
        <w:t>Report on European judicial systems – Edition 2016 (2014 data): efficiency and quality of justice.</w:t>
      </w:r>
    </w:p>
    <w:p w14:paraId="34897120" w14:textId="77777777" w:rsidR="007A512F" w:rsidRPr="00600AFD" w:rsidRDefault="007A512F"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The European Charter on the statute for judges DAJ/</w:t>
      </w:r>
      <w:proofErr w:type="gramStart"/>
      <w:r w:rsidRPr="00600AFD">
        <w:rPr>
          <w:rFonts w:ascii="Times New Roman" w:hAnsi="Times New Roman" w:cs="Times New Roman"/>
          <w:szCs w:val="24"/>
        </w:rPr>
        <w:t>DOC(</w:t>
      </w:r>
      <w:proofErr w:type="gramEnd"/>
      <w:r w:rsidRPr="00600AFD">
        <w:rPr>
          <w:rFonts w:ascii="Times New Roman" w:hAnsi="Times New Roman" w:cs="Times New Roman"/>
          <w:szCs w:val="24"/>
        </w:rPr>
        <w:t>98)23 adopted in Strasbourg in July 1998.</w:t>
      </w:r>
    </w:p>
    <w:p w14:paraId="17C5B34A" w14:textId="1C75E7A4" w:rsidR="007A0C1D" w:rsidRPr="00600AFD" w:rsidRDefault="007A0C1D"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European Commission for Democracy through Law (Venice Commission), CDL</w:t>
      </w:r>
      <w:r w:rsidR="000F3999">
        <w:rPr>
          <w:rFonts w:ascii="Times New Roman" w:hAnsi="Times New Roman" w:cs="Times New Roman"/>
          <w:szCs w:val="24"/>
        </w:rPr>
        <w:t>–</w:t>
      </w:r>
      <w:r w:rsidRPr="00600AFD">
        <w:rPr>
          <w:rFonts w:ascii="Times New Roman" w:hAnsi="Times New Roman" w:cs="Times New Roman"/>
          <w:szCs w:val="24"/>
        </w:rPr>
        <w:t>AD(2010)004</w:t>
      </w:r>
      <w:r w:rsidR="000F3999">
        <w:rPr>
          <w:rFonts w:ascii="Times New Roman" w:hAnsi="Times New Roman" w:cs="Times New Roman"/>
          <w:szCs w:val="24"/>
        </w:rPr>
        <w:t>–</w:t>
      </w:r>
      <w:r w:rsidRPr="00600AFD">
        <w:rPr>
          <w:rFonts w:ascii="Times New Roman" w:hAnsi="Times New Roman" w:cs="Times New Roman"/>
          <w:szCs w:val="24"/>
        </w:rPr>
        <w:t>e, Report on European Standards as Regards the Independence of the Judicial System: Part I</w:t>
      </w:r>
      <w:r w:rsidR="000F3999">
        <w:rPr>
          <w:rFonts w:ascii="Times New Roman" w:hAnsi="Times New Roman" w:cs="Times New Roman"/>
          <w:szCs w:val="24"/>
        </w:rPr>
        <w:t>–</w:t>
      </w:r>
      <w:r w:rsidRPr="00600AFD">
        <w:rPr>
          <w:rFonts w:ascii="Times New Roman" w:hAnsi="Times New Roman" w:cs="Times New Roman"/>
          <w:szCs w:val="24"/>
        </w:rPr>
        <w:t xml:space="preserve"> The Independence of Judges, Adopted by the Venice Commission at its 82th plenary session (Venice, 12</w:t>
      </w:r>
      <w:r w:rsidR="000F3999">
        <w:rPr>
          <w:rFonts w:ascii="Times New Roman" w:hAnsi="Times New Roman" w:cs="Times New Roman"/>
          <w:szCs w:val="24"/>
        </w:rPr>
        <w:t>–</w:t>
      </w:r>
      <w:r w:rsidRPr="00600AFD">
        <w:rPr>
          <w:rFonts w:ascii="Times New Roman" w:hAnsi="Times New Roman" w:cs="Times New Roman"/>
          <w:szCs w:val="24"/>
        </w:rPr>
        <w:t>13 March 2010).</w:t>
      </w:r>
    </w:p>
    <w:p w14:paraId="167BEF7C" w14:textId="3E8E85C2" w:rsidR="00721F5E" w:rsidRPr="00600AFD" w:rsidRDefault="00D754FE"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European Commission for Democracy Through Law (Venice Commission) Serbia Draft Amendments to the Constitution of the Republic of Serbia, CDL</w:t>
      </w:r>
      <w:r w:rsidR="000F3999">
        <w:rPr>
          <w:rFonts w:ascii="Times New Roman" w:hAnsi="Times New Roman" w:cs="Times New Roman"/>
          <w:szCs w:val="24"/>
        </w:rPr>
        <w:t>–</w:t>
      </w:r>
      <w:proofErr w:type="gramStart"/>
      <w:r w:rsidRPr="00600AFD">
        <w:rPr>
          <w:rFonts w:ascii="Times New Roman" w:hAnsi="Times New Roman" w:cs="Times New Roman"/>
          <w:szCs w:val="24"/>
        </w:rPr>
        <w:t>REF(</w:t>
      </w:r>
      <w:proofErr w:type="gramEnd"/>
      <w:r w:rsidRPr="00600AFD">
        <w:rPr>
          <w:rFonts w:ascii="Times New Roman" w:hAnsi="Times New Roman" w:cs="Times New Roman"/>
          <w:szCs w:val="24"/>
        </w:rPr>
        <w:t xml:space="preserve">2018)015, Strasbourg, 26 April 2018. </w:t>
      </w:r>
    </w:p>
    <w:p w14:paraId="2B9F141B" w14:textId="40C13D23" w:rsidR="00D754FE" w:rsidRPr="00600AFD" w:rsidRDefault="00D754FE"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European Commission for Democracy through Law (Venice Commission) Opinion on the Provisions on the Judiciary in the Draft Constitution of the Republic of Serbia, adopted by the Commission at its 64th plenary session (Venice, 21</w:t>
      </w:r>
      <w:r w:rsidR="000F3999">
        <w:rPr>
          <w:rFonts w:ascii="Times New Roman" w:hAnsi="Times New Roman" w:cs="Times New Roman"/>
          <w:szCs w:val="24"/>
        </w:rPr>
        <w:t>–</w:t>
      </w:r>
      <w:r w:rsidRPr="00600AFD">
        <w:rPr>
          <w:rFonts w:ascii="Times New Roman" w:hAnsi="Times New Roman" w:cs="Times New Roman"/>
          <w:szCs w:val="24"/>
        </w:rPr>
        <w:t>22 October 2005)</w:t>
      </w:r>
      <w:r w:rsidR="00847CBA" w:rsidRPr="00600AFD">
        <w:rPr>
          <w:rFonts w:ascii="Times New Roman" w:hAnsi="Times New Roman" w:cs="Times New Roman"/>
          <w:szCs w:val="24"/>
        </w:rPr>
        <w:t>.</w:t>
      </w:r>
    </w:p>
    <w:p w14:paraId="69EC7542" w14:textId="2CC19C52" w:rsidR="002B0303" w:rsidRPr="00600AFD" w:rsidRDefault="009609AE" w:rsidP="004A2704">
      <w:pPr>
        <w:pStyle w:val="ListParagraph"/>
        <w:numPr>
          <w:ilvl w:val="0"/>
          <w:numId w:val="8"/>
        </w:numPr>
        <w:spacing w:after="0"/>
        <w:ind w:left="426" w:hanging="426"/>
        <w:rPr>
          <w:rFonts w:ascii="Times New Roman" w:hAnsi="Times New Roman" w:cs="Times New Roman"/>
          <w:szCs w:val="24"/>
        </w:rPr>
      </w:pPr>
      <w:r w:rsidRPr="00600AFD">
        <w:rPr>
          <w:rFonts w:ascii="Times New Roman" w:hAnsi="Times New Roman" w:cs="Times New Roman"/>
          <w:szCs w:val="24"/>
        </w:rPr>
        <w:t>European Commission for Democracy through Law (Venice Commission), CDL</w:t>
      </w:r>
      <w:r w:rsidR="000F3999">
        <w:rPr>
          <w:rFonts w:ascii="Times New Roman" w:hAnsi="Times New Roman" w:cs="Times New Roman"/>
          <w:szCs w:val="24"/>
        </w:rPr>
        <w:t>–</w:t>
      </w:r>
      <w:r w:rsidRPr="00600AFD">
        <w:rPr>
          <w:rFonts w:ascii="Times New Roman" w:hAnsi="Times New Roman" w:cs="Times New Roman"/>
          <w:szCs w:val="24"/>
        </w:rPr>
        <w:t>AD(2010)04</w:t>
      </w:r>
      <w:r w:rsidR="007308D3" w:rsidRPr="00600AFD">
        <w:rPr>
          <w:rFonts w:ascii="Times New Roman" w:hAnsi="Times New Roman" w:cs="Times New Roman"/>
          <w:szCs w:val="24"/>
        </w:rPr>
        <w:t>0</w:t>
      </w:r>
      <w:r w:rsidRPr="00600AFD">
        <w:rPr>
          <w:rFonts w:ascii="Times New Roman" w:hAnsi="Times New Roman" w:cs="Times New Roman"/>
          <w:szCs w:val="24"/>
        </w:rPr>
        <w:t>, Report on European Standards as Regards the Independence of the Judicial System: Part</w:t>
      </w:r>
      <w:r w:rsidR="007308D3" w:rsidRPr="00600AFD">
        <w:rPr>
          <w:rFonts w:ascii="Times New Roman" w:hAnsi="Times New Roman" w:cs="Times New Roman"/>
          <w:szCs w:val="24"/>
        </w:rPr>
        <w:t xml:space="preserve"> I</w:t>
      </w:r>
      <w:r w:rsidRPr="00600AFD">
        <w:rPr>
          <w:rFonts w:ascii="Times New Roman" w:hAnsi="Times New Roman" w:cs="Times New Roman"/>
          <w:szCs w:val="24"/>
        </w:rPr>
        <w:t>I</w:t>
      </w:r>
      <w:r w:rsidR="000F3999">
        <w:rPr>
          <w:rFonts w:ascii="Times New Roman" w:hAnsi="Times New Roman" w:cs="Times New Roman"/>
          <w:szCs w:val="24"/>
        </w:rPr>
        <w:t>–</w:t>
      </w:r>
      <w:r w:rsidRPr="00600AFD">
        <w:rPr>
          <w:rFonts w:ascii="Times New Roman" w:hAnsi="Times New Roman" w:cs="Times New Roman"/>
          <w:szCs w:val="24"/>
        </w:rPr>
        <w:t xml:space="preserve"> The </w:t>
      </w:r>
      <w:r w:rsidR="000350A2" w:rsidRPr="00600AFD">
        <w:rPr>
          <w:rFonts w:ascii="Times New Roman" w:hAnsi="Times New Roman" w:cs="Times New Roman"/>
          <w:szCs w:val="24"/>
        </w:rPr>
        <w:t>Prosecution Service</w:t>
      </w:r>
      <w:r w:rsidRPr="00600AFD">
        <w:rPr>
          <w:rFonts w:ascii="Times New Roman" w:hAnsi="Times New Roman" w:cs="Times New Roman"/>
          <w:szCs w:val="24"/>
        </w:rPr>
        <w:t xml:space="preserve">, Adopted by the Venice Commission at its </w:t>
      </w:r>
      <w:r w:rsidR="000350A2" w:rsidRPr="00600AFD">
        <w:rPr>
          <w:rFonts w:ascii="Times New Roman" w:hAnsi="Times New Roman" w:cs="Times New Roman"/>
          <w:szCs w:val="24"/>
        </w:rPr>
        <w:t xml:space="preserve">85th </w:t>
      </w:r>
      <w:r w:rsidRPr="00600AFD">
        <w:rPr>
          <w:rFonts w:ascii="Times New Roman" w:hAnsi="Times New Roman" w:cs="Times New Roman"/>
          <w:szCs w:val="24"/>
        </w:rPr>
        <w:t xml:space="preserve">plenary session (Venice, </w:t>
      </w:r>
      <w:r w:rsidR="000350A2" w:rsidRPr="00600AFD">
        <w:rPr>
          <w:rFonts w:ascii="Times New Roman" w:hAnsi="Times New Roman" w:cs="Times New Roman"/>
          <w:szCs w:val="24"/>
        </w:rPr>
        <w:t>17</w:t>
      </w:r>
      <w:r w:rsidR="000F3999">
        <w:rPr>
          <w:rFonts w:ascii="Times New Roman" w:hAnsi="Times New Roman" w:cs="Times New Roman"/>
          <w:szCs w:val="24"/>
        </w:rPr>
        <w:t>–</w:t>
      </w:r>
      <w:r w:rsidR="000350A2" w:rsidRPr="00600AFD">
        <w:rPr>
          <w:rFonts w:ascii="Times New Roman" w:hAnsi="Times New Roman" w:cs="Times New Roman"/>
          <w:szCs w:val="24"/>
        </w:rPr>
        <w:t xml:space="preserve">18 December </w:t>
      </w:r>
      <w:r w:rsidRPr="00600AFD">
        <w:rPr>
          <w:rFonts w:ascii="Times New Roman" w:hAnsi="Times New Roman" w:cs="Times New Roman"/>
          <w:szCs w:val="24"/>
        </w:rPr>
        <w:t>2010)</w:t>
      </w:r>
      <w:r w:rsidR="00847CBA" w:rsidRPr="00600AFD">
        <w:rPr>
          <w:rFonts w:ascii="Times New Roman" w:hAnsi="Times New Roman" w:cs="Times New Roman"/>
          <w:szCs w:val="24"/>
        </w:rPr>
        <w:t>.</w:t>
      </w:r>
      <w:r w:rsidR="002B0303" w:rsidRPr="00600AFD">
        <w:rPr>
          <w:rFonts w:ascii="Times New Roman" w:hAnsi="Times New Roman" w:cs="Times New Roman"/>
          <w:szCs w:val="24"/>
        </w:rPr>
        <w:t xml:space="preserve"> </w:t>
      </w:r>
    </w:p>
    <w:p w14:paraId="4007D38D" w14:textId="364BA045" w:rsidR="00413CB5" w:rsidRPr="00600AFD" w:rsidRDefault="00413CB5" w:rsidP="004A2704">
      <w:pPr>
        <w:pStyle w:val="ListParagraph"/>
        <w:numPr>
          <w:ilvl w:val="0"/>
          <w:numId w:val="8"/>
        </w:numPr>
        <w:spacing w:after="0"/>
        <w:ind w:left="426" w:hanging="426"/>
        <w:rPr>
          <w:rFonts w:ascii="Times New Roman" w:hAnsi="Times New Roman" w:cs="Times New Roman"/>
          <w:szCs w:val="24"/>
        </w:rPr>
      </w:pPr>
      <w:r w:rsidRPr="00600AFD">
        <w:rPr>
          <w:rFonts w:ascii="Times New Roman" w:hAnsi="Times New Roman" w:cs="Times New Roman"/>
          <w:szCs w:val="24"/>
        </w:rPr>
        <w:t xml:space="preserve">Convention </w:t>
      </w:r>
      <w:r w:rsidR="002B0303" w:rsidRPr="00600AFD">
        <w:rPr>
          <w:rFonts w:ascii="Times New Roman" w:hAnsi="Times New Roman" w:cs="Times New Roman"/>
          <w:szCs w:val="24"/>
        </w:rPr>
        <w:t>for</w:t>
      </w:r>
      <w:r w:rsidRPr="00600AFD">
        <w:rPr>
          <w:rFonts w:ascii="Times New Roman" w:hAnsi="Times New Roman" w:cs="Times New Roman"/>
          <w:szCs w:val="24"/>
        </w:rPr>
        <w:t xml:space="preserve"> the Protection of Human Rights and </w:t>
      </w:r>
      <w:r w:rsidR="002B0303" w:rsidRPr="00600AFD">
        <w:rPr>
          <w:rFonts w:ascii="Times New Roman" w:hAnsi="Times New Roman" w:cs="Times New Roman"/>
          <w:szCs w:val="24"/>
        </w:rPr>
        <w:t>Fundamental</w:t>
      </w:r>
      <w:r w:rsidRPr="00600AFD">
        <w:rPr>
          <w:rFonts w:ascii="Times New Roman" w:hAnsi="Times New Roman" w:cs="Times New Roman"/>
          <w:szCs w:val="24"/>
        </w:rPr>
        <w:t xml:space="preserve"> Freedom</w:t>
      </w:r>
      <w:r w:rsidR="002B0303" w:rsidRPr="00600AFD">
        <w:rPr>
          <w:rFonts w:ascii="Times New Roman" w:hAnsi="Times New Roman" w:cs="Times New Roman"/>
          <w:szCs w:val="24"/>
        </w:rPr>
        <w:t>s</w:t>
      </w:r>
      <w:r w:rsidRPr="00600AFD">
        <w:rPr>
          <w:rFonts w:ascii="Times New Roman" w:hAnsi="Times New Roman" w:cs="Times New Roman"/>
          <w:szCs w:val="24"/>
        </w:rPr>
        <w:t>, “Official Gazette of S</w:t>
      </w:r>
      <w:r w:rsidR="004D5F6D" w:rsidRPr="00600AFD">
        <w:rPr>
          <w:rFonts w:ascii="Times New Roman" w:hAnsi="Times New Roman" w:cs="Times New Roman"/>
          <w:szCs w:val="24"/>
        </w:rPr>
        <w:t>erbia and Montenegro</w:t>
      </w:r>
      <w:r w:rsidRPr="00600AFD">
        <w:rPr>
          <w:rFonts w:ascii="Times New Roman" w:hAnsi="Times New Roman" w:cs="Times New Roman"/>
          <w:szCs w:val="24"/>
        </w:rPr>
        <w:t xml:space="preserve"> </w:t>
      </w:r>
      <w:r w:rsidR="000F3999">
        <w:rPr>
          <w:rFonts w:ascii="Times New Roman" w:hAnsi="Times New Roman" w:cs="Times New Roman"/>
          <w:szCs w:val="24"/>
        </w:rPr>
        <w:t>–</w:t>
      </w:r>
      <w:r w:rsidRPr="00600AFD">
        <w:rPr>
          <w:rFonts w:ascii="Times New Roman" w:hAnsi="Times New Roman" w:cs="Times New Roman"/>
          <w:szCs w:val="24"/>
        </w:rPr>
        <w:t xml:space="preserve"> International Agreements”, </w:t>
      </w:r>
      <w:r w:rsidR="00755D52" w:rsidRPr="00600AFD">
        <w:rPr>
          <w:rFonts w:ascii="Times New Roman" w:hAnsi="Times New Roman" w:cs="Times New Roman"/>
          <w:szCs w:val="24"/>
        </w:rPr>
        <w:t>n</w:t>
      </w:r>
      <w:r w:rsidRPr="00600AFD">
        <w:rPr>
          <w:rFonts w:ascii="Times New Roman" w:hAnsi="Times New Roman" w:cs="Times New Roman"/>
          <w:szCs w:val="24"/>
        </w:rPr>
        <w:t xml:space="preserve">o. 9/03, 5/05 and 7/05 </w:t>
      </w:r>
      <w:r w:rsidR="000F3999">
        <w:rPr>
          <w:rFonts w:ascii="Times New Roman" w:hAnsi="Times New Roman" w:cs="Times New Roman"/>
          <w:szCs w:val="24"/>
        </w:rPr>
        <w:t>–</w:t>
      </w:r>
      <w:r w:rsidRPr="00600AFD">
        <w:rPr>
          <w:rFonts w:ascii="Times New Roman" w:hAnsi="Times New Roman" w:cs="Times New Roman"/>
          <w:szCs w:val="24"/>
        </w:rPr>
        <w:t xml:space="preserve"> print.</w:t>
      </w:r>
    </w:p>
    <w:p w14:paraId="2782930F" w14:textId="71F700E5" w:rsidR="002B0303" w:rsidRPr="00600AFD" w:rsidRDefault="00413CB5"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Law on Ratification of the International Covenant on Civil and Political R</w:t>
      </w:r>
      <w:r w:rsidR="004D5F6D" w:rsidRPr="00600AFD">
        <w:rPr>
          <w:rFonts w:ascii="Times New Roman" w:hAnsi="Times New Roman" w:cs="Times New Roman"/>
          <w:szCs w:val="24"/>
        </w:rPr>
        <w:t>ights</w:t>
      </w:r>
      <w:r w:rsidRPr="00600AFD">
        <w:rPr>
          <w:rFonts w:ascii="Times New Roman" w:hAnsi="Times New Roman" w:cs="Times New Roman"/>
          <w:szCs w:val="24"/>
        </w:rPr>
        <w:t xml:space="preserve">, </w:t>
      </w:r>
      <w:r w:rsidR="00660FFC" w:rsidRPr="00600AFD">
        <w:rPr>
          <w:rFonts w:ascii="Times New Roman" w:hAnsi="Times New Roman" w:cs="Times New Roman"/>
          <w:szCs w:val="24"/>
        </w:rPr>
        <w:t>“</w:t>
      </w:r>
      <w:r w:rsidRPr="00600AFD">
        <w:rPr>
          <w:rFonts w:ascii="Times New Roman" w:hAnsi="Times New Roman" w:cs="Times New Roman"/>
          <w:szCs w:val="24"/>
        </w:rPr>
        <w:t>Official Gazette of the SFRY</w:t>
      </w:r>
      <w:r w:rsidR="00660FFC" w:rsidRPr="00600AFD">
        <w:rPr>
          <w:rFonts w:ascii="Times New Roman" w:hAnsi="Times New Roman" w:cs="Times New Roman"/>
          <w:szCs w:val="24"/>
        </w:rPr>
        <w:t>”</w:t>
      </w:r>
      <w:r w:rsidRPr="00600AFD">
        <w:rPr>
          <w:rFonts w:ascii="Times New Roman" w:hAnsi="Times New Roman" w:cs="Times New Roman"/>
          <w:szCs w:val="24"/>
        </w:rPr>
        <w:t xml:space="preserve">, </w:t>
      </w:r>
      <w:r w:rsidR="00660FFC" w:rsidRPr="00600AFD">
        <w:rPr>
          <w:rFonts w:ascii="Times New Roman" w:hAnsi="Times New Roman" w:cs="Times New Roman"/>
          <w:szCs w:val="24"/>
        </w:rPr>
        <w:t>n</w:t>
      </w:r>
      <w:r w:rsidRPr="00600AFD">
        <w:rPr>
          <w:rFonts w:ascii="Times New Roman" w:hAnsi="Times New Roman" w:cs="Times New Roman"/>
          <w:szCs w:val="24"/>
        </w:rPr>
        <w:t>o. 7/71.</w:t>
      </w:r>
    </w:p>
    <w:p w14:paraId="5366F852" w14:textId="7B5621BE" w:rsidR="00721F5E" w:rsidRPr="00600AFD" w:rsidRDefault="002355AF"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 xml:space="preserve">OSCE Office for Democratic Institutions &amp; Max Planck Minerva Research Group and Human Rights on Judicial Independence, </w:t>
      </w:r>
      <w:r w:rsidRPr="00600AFD">
        <w:rPr>
          <w:rFonts w:ascii="Times New Roman" w:hAnsi="Times New Roman" w:cs="Times New Roman"/>
          <w:i/>
          <w:szCs w:val="24"/>
        </w:rPr>
        <w:t xml:space="preserve">KYIV RECOMMENDATIONS ON JUDICIAL INDEPENDENCE IN EASTERN EUROPE, SOUTH CAUCASUS AND CENTRAL ASIA </w:t>
      </w:r>
      <w:r w:rsidR="000F3999">
        <w:rPr>
          <w:rFonts w:ascii="Times New Roman" w:hAnsi="Times New Roman" w:cs="Times New Roman"/>
          <w:i/>
          <w:szCs w:val="24"/>
        </w:rPr>
        <w:t>–</w:t>
      </w:r>
      <w:r w:rsidRPr="00600AFD">
        <w:rPr>
          <w:rFonts w:ascii="Times New Roman" w:hAnsi="Times New Roman" w:cs="Times New Roman"/>
          <w:i/>
          <w:szCs w:val="24"/>
        </w:rPr>
        <w:t xml:space="preserve"> Judicial Administration, Selection and Accountability</w:t>
      </w:r>
      <w:r w:rsidRPr="00600AFD">
        <w:rPr>
          <w:rFonts w:ascii="Times New Roman" w:hAnsi="Times New Roman" w:cs="Times New Roman"/>
          <w:szCs w:val="24"/>
        </w:rPr>
        <w:t xml:space="preserve"> </w:t>
      </w:r>
      <w:r w:rsidR="000F3999">
        <w:rPr>
          <w:rFonts w:ascii="Times New Roman" w:hAnsi="Times New Roman" w:cs="Times New Roman"/>
          <w:szCs w:val="24"/>
        </w:rPr>
        <w:t>–</w:t>
      </w:r>
      <w:r w:rsidRPr="00600AFD">
        <w:rPr>
          <w:rFonts w:ascii="Times New Roman" w:hAnsi="Times New Roman" w:cs="Times New Roman"/>
          <w:szCs w:val="24"/>
        </w:rPr>
        <w:t xml:space="preserve"> Kyiv, 23</w:t>
      </w:r>
      <w:r w:rsidR="000F3999">
        <w:rPr>
          <w:rFonts w:ascii="Times New Roman" w:hAnsi="Times New Roman" w:cs="Times New Roman"/>
          <w:szCs w:val="24"/>
        </w:rPr>
        <w:t>–</w:t>
      </w:r>
      <w:r w:rsidRPr="00600AFD">
        <w:rPr>
          <w:rFonts w:ascii="Times New Roman" w:hAnsi="Times New Roman" w:cs="Times New Roman"/>
          <w:szCs w:val="24"/>
        </w:rPr>
        <w:t>25 June 2010;</w:t>
      </w:r>
    </w:p>
    <w:p w14:paraId="3051491E" w14:textId="77777777" w:rsidR="00721F5E" w:rsidRPr="00600AFD" w:rsidRDefault="00BE172F"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Recommendation CM/</w:t>
      </w:r>
      <w:proofErr w:type="gramStart"/>
      <w:r w:rsidRPr="00600AFD">
        <w:rPr>
          <w:rFonts w:ascii="Times New Roman" w:hAnsi="Times New Roman" w:cs="Times New Roman"/>
          <w:szCs w:val="24"/>
        </w:rPr>
        <w:t>Rec(</w:t>
      </w:r>
      <w:proofErr w:type="gramEnd"/>
      <w:r w:rsidRPr="00600AFD">
        <w:rPr>
          <w:rFonts w:ascii="Times New Roman" w:hAnsi="Times New Roman" w:cs="Times New Roman"/>
          <w:szCs w:val="24"/>
        </w:rPr>
        <w:t>2010)12 of the Committee of Ministers to member states on judges: independence, efficiency and responsibilities (Adopted by the Committee of Ministers on 17 November 2010 at the 1098th meeting of the Ministers' Deputies)</w:t>
      </w:r>
    </w:p>
    <w:p w14:paraId="396EC9E2" w14:textId="77777777" w:rsidR="00721F5E" w:rsidRPr="00600AFD" w:rsidRDefault="00FB0665"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 xml:space="preserve">Recommendation </w:t>
      </w:r>
      <w:proofErr w:type="gramStart"/>
      <w:r w:rsidRPr="00600AFD">
        <w:rPr>
          <w:rFonts w:ascii="Times New Roman" w:hAnsi="Times New Roman" w:cs="Times New Roman"/>
          <w:szCs w:val="24"/>
        </w:rPr>
        <w:t>Rec(</w:t>
      </w:r>
      <w:proofErr w:type="gramEnd"/>
      <w:r w:rsidRPr="00600AFD">
        <w:rPr>
          <w:rFonts w:ascii="Times New Roman" w:hAnsi="Times New Roman" w:cs="Times New Roman"/>
          <w:szCs w:val="24"/>
        </w:rPr>
        <w:t>2000)19 of the Council of Europe on the role of public prosecution in the criminal justice system, adopted by the Committee of Ministers on 6 October 2000 at the 724th meeting of the Ministers’ Deputies.</w:t>
      </w:r>
    </w:p>
    <w:p w14:paraId="6A43AF9A" w14:textId="082DF02E" w:rsidR="00721F5E" w:rsidRPr="00600AFD" w:rsidRDefault="00FB0665" w:rsidP="004A2704">
      <w:pPr>
        <w:pStyle w:val="ListParagraph"/>
        <w:numPr>
          <w:ilvl w:val="0"/>
          <w:numId w:val="8"/>
        </w:numPr>
        <w:spacing w:after="0"/>
        <w:ind w:left="426" w:hanging="426"/>
        <w:contextualSpacing w:val="0"/>
        <w:rPr>
          <w:rFonts w:ascii="Times New Roman" w:hAnsi="Times New Roman" w:cs="Times New Roman"/>
          <w:color w:val="000000" w:themeColor="text1"/>
          <w:szCs w:val="24"/>
        </w:rPr>
      </w:pPr>
      <w:r w:rsidRPr="00600AFD">
        <w:rPr>
          <w:rFonts w:ascii="Times New Roman" w:hAnsi="Times New Roman" w:cs="Times New Roman"/>
          <w:szCs w:val="24"/>
        </w:rPr>
        <w:t xml:space="preserve">The European Charter on the </w:t>
      </w:r>
      <w:r w:rsidR="00660FFC" w:rsidRPr="00600AFD">
        <w:rPr>
          <w:rFonts w:ascii="Times New Roman" w:hAnsi="Times New Roman" w:cs="Times New Roman"/>
          <w:szCs w:val="24"/>
        </w:rPr>
        <w:t xml:space="preserve">Statute </w:t>
      </w:r>
      <w:r w:rsidRPr="00600AFD">
        <w:rPr>
          <w:rFonts w:ascii="Times New Roman" w:hAnsi="Times New Roman" w:cs="Times New Roman"/>
          <w:szCs w:val="24"/>
        </w:rPr>
        <w:t xml:space="preserve">for </w:t>
      </w:r>
      <w:r w:rsidR="00660FFC" w:rsidRPr="00600AFD">
        <w:rPr>
          <w:rFonts w:ascii="Times New Roman" w:hAnsi="Times New Roman" w:cs="Times New Roman"/>
          <w:szCs w:val="24"/>
        </w:rPr>
        <w:t xml:space="preserve">Judges </w:t>
      </w:r>
      <w:r w:rsidRPr="00600AFD">
        <w:rPr>
          <w:rFonts w:ascii="Times New Roman" w:hAnsi="Times New Roman" w:cs="Times New Roman"/>
          <w:szCs w:val="24"/>
        </w:rPr>
        <w:t>DAJ/</w:t>
      </w:r>
      <w:proofErr w:type="gramStart"/>
      <w:r w:rsidRPr="00600AFD">
        <w:rPr>
          <w:rFonts w:ascii="Times New Roman" w:hAnsi="Times New Roman" w:cs="Times New Roman"/>
          <w:szCs w:val="24"/>
        </w:rPr>
        <w:t>DOC(</w:t>
      </w:r>
      <w:proofErr w:type="gramEnd"/>
      <w:r w:rsidRPr="00600AFD">
        <w:rPr>
          <w:rFonts w:ascii="Times New Roman" w:hAnsi="Times New Roman" w:cs="Times New Roman"/>
          <w:szCs w:val="24"/>
        </w:rPr>
        <w:t>98)23 adopted in Strasbourg in Ju</w:t>
      </w:r>
      <w:r w:rsidRPr="00600AFD">
        <w:rPr>
          <w:rFonts w:ascii="Times New Roman" w:hAnsi="Times New Roman" w:cs="Times New Roman"/>
          <w:color w:val="000000" w:themeColor="text1"/>
          <w:szCs w:val="24"/>
        </w:rPr>
        <w:t>ly 1998.</w:t>
      </w:r>
    </w:p>
    <w:p w14:paraId="475B328F" w14:textId="2FAA87A1" w:rsidR="00FB0665" w:rsidRPr="004A4641" w:rsidRDefault="00FB0665" w:rsidP="004A2704">
      <w:pPr>
        <w:pStyle w:val="ListParagraph"/>
        <w:numPr>
          <w:ilvl w:val="0"/>
          <w:numId w:val="8"/>
        </w:numPr>
        <w:spacing w:after="0"/>
        <w:ind w:left="426" w:hanging="426"/>
        <w:contextualSpacing w:val="0"/>
        <w:rPr>
          <w:rStyle w:val="CharacterStyle2"/>
          <w:rFonts w:ascii="Times New Roman" w:hAnsi="Times New Roman" w:cs="Times New Roman"/>
          <w:color w:val="000000" w:themeColor="text1"/>
          <w:sz w:val="24"/>
          <w:szCs w:val="24"/>
        </w:rPr>
      </w:pPr>
      <w:r w:rsidRPr="00600AFD">
        <w:rPr>
          <w:rStyle w:val="CharacterStyle2"/>
          <w:rFonts w:ascii="Times New Roman" w:hAnsi="Times New Roman" w:cs="Times New Roman"/>
          <w:bCs/>
          <w:i/>
          <w:color w:val="000000" w:themeColor="text1"/>
          <w:spacing w:val="-4"/>
          <w:sz w:val="24"/>
          <w:szCs w:val="24"/>
        </w:rPr>
        <w:t>Universal Declaration on the Independence of Justice</w:t>
      </w:r>
      <w:r w:rsidRPr="00600AFD">
        <w:rPr>
          <w:rStyle w:val="CharacterStyle2"/>
          <w:rFonts w:ascii="Times New Roman" w:hAnsi="Times New Roman" w:cs="Times New Roman"/>
          <w:bCs/>
          <w:color w:val="000000" w:themeColor="text1"/>
          <w:spacing w:val="-4"/>
          <w:sz w:val="24"/>
          <w:szCs w:val="24"/>
        </w:rPr>
        <w:t xml:space="preserve">, </w:t>
      </w:r>
      <w:proofErr w:type="gramStart"/>
      <w:r w:rsidR="004A2704">
        <w:rPr>
          <w:rStyle w:val="CharacterStyle2"/>
          <w:rFonts w:ascii="Times New Roman" w:hAnsi="Times New Roman" w:cs="Times New Roman"/>
          <w:color w:val="000000" w:themeColor="text1"/>
          <w:spacing w:val="1"/>
          <w:sz w:val="24"/>
          <w:szCs w:val="24"/>
        </w:rPr>
        <w:t>U</w:t>
      </w:r>
      <w:r w:rsidR="004A2704" w:rsidRPr="00600AFD">
        <w:rPr>
          <w:rStyle w:val="CharacterStyle2"/>
          <w:rFonts w:ascii="Times New Roman" w:hAnsi="Times New Roman" w:cs="Times New Roman"/>
          <w:color w:val="000000" w:themeColor="text1"/>
          <w:spacing w:val="1"/>
          <w:sz w:val="24"/>
          <w:szCs w:val="24"/>
        </w:rPr>
        <w:t>nanimously</w:t>
      </w:r>
      <w:proofErr w:type="gramEnd"/>
      <w:r w:rsidRPr="00600AFD">
        <w:rPr>
          <w:rStyle w:val="CharacterStyle2"/>
          <w:rFonts w:ascii="Times New Roman" w:hAnsi="Times New Roman" w:cs="Times New Roman"/>
          <w:color w:val="000000" w:themeColor="text1"/>
          <w:spacing w:val="1"/>
          <w:sz w:val="24"/>
          <w:szCs w:val="24"/>
        </w:rPr>
        <w:t xml:space="preserve"> adopted at the final plenary session of the First World </w:t>
      </w:r>
      <w:r w:rsidRPr="00600AFD">
        <w:rPr>
          <w:rStyle w:val="CharacterStyle2"/>
          <w:rFonts w:ascii="Times New Roman" w:hAnsi="Times New Roman" w:cs="Times New Roman"/>
          <w:color w:val="000000" w:themeColor="text1"/>
          <w:spacing w:val="-1"/>
          <w:sz w:val="24"/>
          <w:szCs w:val="24"/>
        </w:rPr>
        <w:t xml:space="preserve">Conference on the Independence of Justice held at Montreal </w:t>
      </w:r>
      <w:r w:rsidRPr="00600AFD">
        <w:rPr>
          <w:rStyle w:val="CharacterStyle2"/>
          <w:rFonts w:ascii="Times New Roman" w:hAnsi="Times New Roman" w:cs="Times New Roman"/>
          <w:color w:val="000000" w:themeColor="text1"/>
          <w:spacing w:val="-11"/>
          <w:sz w:val="24"/>
          <w:szCs w:val="24"/>
        </w:rPr>
        <w:t xml:space="preserve">(Quebec, </w:t>
      </w:r>
      <w:r w:rsidRPr="00600AFD">
        <w:rPr>
          <w:rStyle w:val="CharacterStyle2"/>
          <w:rFonts w:ascii="Times New Roman" w:hAnsi="Times New Roman" w:cs="Times New Roman"/>
          <w:color w:val="000000" w:themeColor="text1"/>
          <w:spacing w:val="-16"/>
          <w:sz w:val="24"/>
          <w:szCs w:val="24"/>
        </w:rPr>
        <w:t xml:space="preserve">Canada) on June 10th, 1983; </w:t>
      </w:r>
    </w:p>
    <w:p w14:paraId="3C220301" w14:textId="717992F4" w:rsidR="004A4641" w:rsidRDefault="004A4641" w:rsidP="004A4641">
      <w:pPr>
        <w:spacing w:after="0"/>
        <w:rPr>
          <w:rStyle w:val="CharacterStyle2"/>
          <w:rFonts w:ascii="Times New Roman" w:hAnsi="Times New Roman" w:cs="Times New Roman"/>
          <w:color w:val="000000" w:themeColor="text1"/>
          <w:sz w:val="24"/>
          <w:szCs w:val="24"/>
        </w:rPr>
      </w:pPr>
    </w:p>
    <w:p w14:paraId="6007979F" w14:textId="1E5087B4" w:rsidR="004A4641" w:rsidRDefault="004A4641" w:rsidP="004A4641">
      <w:pPr>
        <w:spacing w:after="0"/>
        <w:rPr>
          <w:rStyle w:val="CharacterStyle2"/>
          <w:rFonts w:ascii="Times New Roman" w:hAnsi="Times New Roman" w:cs="Times New Roman"/>
          <w:color w:val="000000" w:themeColor="text1"/>
          <w:sz w:val="24"/>
          <w:szCs w:val="24"/>
        </w:rPr>
      </w:pPr>
    </w:p>
    <w:p w14:paraId="1272CF2C" w14:textId="59828919" w:rsidR="004A4641" w:rsidRDefault="004A4641" w:rsidP="004A4641">
      <w:pPr>
        <w:spacing w:after="0"/>
        <w:rPr>
          <w:rStyle w:val="CharacterStyle2"/>
          <w:rFonts w:ascii="Times New Roman" w:hAnsi="Times New Roman" w:cs="Times New Roman"/>
          <w:color w:val="000000" w:themeColor="text1"/>
          <w:sz w:val="24"/>
          <w:szCs w:val="24"/>
        </w:rPr>
      </w:pPr>
    </w:p>
    <w:p w14:paraId="7FD2742C" w14:textId="47BFB1FF" w:rsidR="004A4641" w:rsidRDefault="004A4641" w:rsidP="004A4641">
      <w:pPr>
        <w:spacing w:after="0"/>
        <w:rPr>
          <w:rStyle w:val="CharacterStyle2"/>
          <w:rFonts w:ascii="Times New Roman" w:hAnsi="Times New Roman" w:cs="Times New Roman"/>
          <w:color w:val="000000" w:themeColor="text1"/>
          <w:sz w:val="24"/>
          <w:szCs w:val="24"/>
        </w:rPr>
      </w:pPr>
    </w:p>
    <w:p w14:paraId="201C60C6" w14:textId="7BB95D4C" w:rsidR="004A4641" w:rsidRDefault="004A4641" w:rsidP="004A4641">
      <w:pPr>
        <w:spacing w:after="0"/>
        <w:rPr>
          <w:rStyle w:val="CharacterStyle2"/>
          <w:rFonts w:ascii="Times New Roman" w:hAnsi="Times New Roman" w:cs="Times New Roman"/>
          <w:color w:val="000000" w:themeColor="text1"/>
          <w:sz w:val="24"/>
          <w:szCs w:val="24"/>
        </w:rPr>
      </w:pPr>
    </w:p>
    <w:p w14:paraId="113D36DB" w14:textId="746E27FA" w:rsidR="004A4641" w:rsidRDefault="004A4641" w:rsidP="004A4641">
      <w:pPr>
        <w:spacing w:after="0"/>
        <w:rPr>
          <w:rStyle w:val="CharacterStyle2"/>
          <w:rFonts w:ascii="Times New Roman" w:hAnsi="Times New Roman" w:cs="Times New Roman"/>
          <w:color w:val="000000" w:themeColor="text1"/>
          <w:sz w:val="24"/>
          <w:szCs w:val="24"/>
        </w:rPr>
      </w:pPr>
    </w:p>
    <w:p w14:paraId="41009968" w14:textId="77777777" w:rsidR="004A4641" w:rsidRPr="004A4641" w:rsidRDefault="004A4641" w:rsidP="004A4641">
      <w:pPr>
        <w:spacing w:after="0"/>
        <w:rPr>
          <w:rStyle w:val="CharacterStyle2"/>
          <w:rFonts w:ascii="Times New Roman" w:hAnsi="Times New Roman" w:cs="Times New Roman"/>
          <w:color w:val="000000" w:themeColor="text1"/>
          <w:sz w:val="24"/>
          <w:szCs w:val="24"/>
        </w:rPr>
      </w:pPr>
    </w:p>
    <w:p w14:paraId="10AF7038" w14:textId="3E83D370" w:rsidR="00FB0665" w:rsidRPr="00600AFD" w:rsidRDefault="00FB0665" w:rsidP="004A2704">
      <w:pPr>
        <w:pStyle w:val="ListParagraph"/>
        <w:numPr>
          <w:ilvl w:val="0"/>
          <w:numId w:val="8"/>
        </w:numPr>
        <w:spacing w:after="0"/>
        <w:ind w:left="426" w:hanging="426"/>
        <w:contextualSpacing w:val="0"/>
        <w:rPr>
          <w:rFonts w:ascii="Times New Roman" w:hAnsi="Times New Roman" w:cs="Times New Roman"/>
          <w:color w:val="000000" w:themeColor="text1"/>
          <w:szCs w:val="24"/>
        </w:rPr>
      </w:pPr>
      <w:r w:rsidRPr="00600AFD">
        <w:rPr>
          <w:rFonts w:ascii="Times New Roman" w:hAnsi="Times New Roman" w:cs="Times New Roman"/>
          <w:i/>
          <w:color w:val="000000" w:themeColor="text1"/>
          <w:szCs w:val="24"/>
        </w:rPr>
        <w:lastRenderedPageBreak/>
        <w:t>Basic Principles on the Independence of the Judiciary</w:t>
      </w:r>
      <w:r w:rsidRPr="00600AFD">
        <w:rPr>
          <w:rFonts w:ascii="Times New Roman" w:hAnsi="Times New Roman" w:cs="Times New Roman"/>
          <w:color w:val="000000" w:themeColor="text1"/>
          <w:szCs w:val="24"/>
        </w:rPr>
        <w:t xml:space="preserve">, </w:t>
      </w:r>
      <w:proofErr w:type="gramStart"/>
      <w:r w:rsidRPr="00600AFD">
        <w:rPr>
          <w:rFonts w:ascii="Times New Roman" w:hAnsi="Times New Roman" w:cs="Times New Roman"/>
          <w:bCs/>
          <w:color w:val="000000" w:themeColor="text1"/>
          <w:szCs w:val="24"/>
        </w:rPr>
        <w:t>Adopted</w:t>
      </w:r>
      <w:proofErr w:type="gramEnd"/>
      <w:r w:rsidRPr="00600AFD">
        <w:rPr>
          <w:rFonts w:ascii="Times New Roman" w:hAnsi="Times New Roman" w:cs="Times New Roman"/>
          <w:bCs/>
          <w:color w:val="000000" w:themeColor="text1"/>
          <w:szCs w:val="24"/>
        </w:rPr>
        <w:t xml:space="preserve"> by the Seventh United Nations Congress on the Prevention of Crime and the Treatment of Offenders held at Milan from 26 August to</w:t>
      </w:r>
      <w:r w:rsidR="00270C85" w:rsidRPr="00600AFD">
        <w:rPr>
          <w:rFonts w:ascii="Times New Roman" w:hAnsi="Times New Roman" w:cs="Times New Roman"/>
          <w:bCs/>
          <w:color w:val="000000" w:themeColor="text1"/>
          <w:szCs w:val="24"/>
        </w:rPr>
        <w:t xml:space="preserve"> </w:t>
      </w:r>
      <w:r w:rsidRPr="00600AFD">
        <w:rPr>
          <w:rFonts w:ascii="Times New Roman" w:hAnsi="Times New Roman" w:cs="Times New Roman"/>
          <w:bCs/>
          <w:color w:val="000000" w:themeColor="text1"/>
          <w:szCs w:val="24"/>
        </w:rPr>
        <w:t>6 September 1985 and endorsed by General Assembly resolutions 40/32 of 29 November 1985 and 40/146 of 13 December 1985.</w:t>
      </w:r>
    </w:p>
    <w:p w14:paraId="428656C6" w14:textId="2BE00EFD" w:rsidR="00593284" w:rsidRPr="00600AFD" w:rsidRDefault="00593284"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 xml:space="preserve">European Network of Councils for the Judiciary (ENCJ), Resolution of Bucharest on Transparency and Access to Justice </w:t>
      </w:r>
      <w:r w:rsidR="000F3999">
        <w:rPr>
          <w:rFonts w:ascii="Times New Roman" w:hAnsi="Times New Roman" w:cs="Times New Roman"/>
          <w:szCs w:val="24"/>
        </w:rPr>
        <w:t>–</w:t>
      </w:r>
      <w:r w:rsidRPr="00600AFD">
        <w:rPr>
          <w:rFonts w:ascii="Times New Roman" w:hAnsi="Times New Roman" w:cs="Times New Roman"/>
          <w:szCs w:val="24"/>
        </w:rPr>
        <w:t xml:space="preserve"> May 2009; </w:t>
      </w:r>
      <w:hyperlink r:id="rId17" w:history="1">
        <w:r w:rsidR="0025369F" w:rsidRPr="00600AFD">
          <w:rPr>
            <w:rStyle w:val="Hyperlink"/>
            <w:rFonts w:ascii="Times New Roman" w:hAnsi="Times New Roman"/>
            <w:szCs w:val="24"/>
          </w:rPr>
          <w:t>https://www.encj.eu/images/ stories/pdf/opinions/resolutionbucharest29may_final.pdf</w:t>
        </w:r>
      </w:hyperlink>
      <w:r w:rsidRPr="00600AFD">
        <w:rPr>
          <w:rFonts w:ascii="Times New Roman" w:hAnsi="Times New Roman" w:cs="Times New Roman"/>
          <w:szCs w:val="24"/>
        </w:rPr>
        <w:t xml:space="preserve">   </w:t>
      </w:r>
    </w:p>
    <w:p w14:paraId="36BBB04A" w14:textId="77777777" w:rsidR="00593284" w:rsidRPr="00600AFD" w:rsidRDefault="00593284" w:rsidP="004A2704">
      <w:pPr>
        <w:pStyle w:val="ListParagraph"/>
        <w:numPr>
          <w:ilvl w:val="0"/>
          <w:numId w:val="8"/>
        </w:numPr>
        <w:spacing w:after="0"/>
        <w:ind w:left="426" w:hanging="426"/>
        <w:contextualSpacing w:val="0"/>
        <w:rPr>
          <w:rFonts w:ascii="Times New Roman" w:hAnsi="Times New Roman" w:cs="Times New Roman"/>
          <w:szCs w:val="24"/>
        </w:rPr>
      </w:pPr>
      <w:r w:rsidRPr="00600AFD">
        <w:rPr>
          <w:rFonts w:ascii="Times New Roman" w:hAnsi="Times New Roman" w:cs="Times New Roman"/>
          <w:szCs w:val="24"/>
        </w:rPr>
        <w:t xml:space="preserve">Opinion No. 9 (2014) of the CCPE on European norms and principles concerning prosecutors, the Rome Charter for Prosecutors; </w:t>
      </w:r>
      <w:hyperlink r:id="rId18" w:history="1">
        <w:r w:rsidRPr="00600AFD">
          <w:rPr>
            <w:rStyle w:val="Hyperlink"/>
            <w:rFonts w:ascii="Times New Roman" w:hAnsi="Times New Roman"/>
            <w:szCs w:val="24"/>
          </w:rPr>
          <w:t>https://rm.coe.int/168074738b</w:t>
        </w:r>
      </w:hyperlink>
      <w:r w:rsidRPr="00600AFD">
        <w:rPr>
          <w:rFonts w:ascii="Times New Roman" w:hAnsi="Times New Roman" w:cs="Times New Roman"/>
          <w:szCs w:val="24"/>
        </w:rPr>
        <w:t xml:space="preserve"> </w:t>
      </w:r>
    </w:p>
    <w:p w14:paraId="5966CFDD" w14:textId="77777777" w:rsidR="00FB0665" w:rsidRPr="00600AFD" w:rsidRDefault="00FB0665" w:rsidP="004A2704">
      <w:pPr>
        <w:pStyle w:val="FootnoteText"/>
        <w:ind w:left="426" w:hanging="426"/>
        <w:rPr>
          <w:rFonts w:ascii="Times New Roman" w:hAnsi="Times New Roman" w:cs="Times New Roman"/>
          <w:b/>
          <w:sz w:val="24"/>
          <w:szCs w:val="24"/>
        </w:rPr>
      </w:pPr>
    </w:p>
    <w:p w14:paraId="584127FA" w14:textId="77777777" w:rsidR="008430CF" w:rsidRPr="00600AFD" w:rsidRDefault="00A16F51" w:rsidP="004A2704">
      <w:pPr>
        <w:pStyle w:val="FootnoteText"/>
        <w:numPr>
          <w:ilvl w:val="0"/>
          <w:numId w:val="1"/>
        </w:numPr>
        <w:ind w:left="426" w:hanging="426"/>
        <w:rPr>
          <w:rFonts w:ascii="Times New Roman" w:hAnsi="Times New Roman" w:cs="Times New Roman"/>
          <w:b/>
          <w:sz w:val="24"/>
          <w:szCs w:val="24"/>
        </w:rPr>
      </w:pPr>
      <w:r w:rsidRPr="00600AFD">
        <w:rPr>
          <w:rFonts w:ascii="Times New Roman" w:hAnsi="Times New Roman" w:cs="Times New Roman"/>
          <w:b/>
          <w:sz w:val="24"/>
          <w:szCs w:val="24"/>
        </w:rPr>
        <w:t>European Court of Human Rights Case Law</w:t>
      </w:r>
    </w:p>
    <w:p w14:paraId="56A781BA" w14:textId="77777777" w:rsidR="008430CF" w:rsidRPr="00600AFD" w:rsidRDefault="008430CF" w:rsidP="004A2704">
      <w:pPr>
        <w:pStyle w:val="FootnoteText"/>
        <w:ind w:left="426" w:hanging="426"/>
        <w:rPr>
          <w:rFonts w:ascii="Times New Roman" w:hAnsi="Times New Roman" w:cs="Times New Roman"/>
          <w:sz w:val="24"/>
          <w:szCs w:val="24"/>
        </w:rPr>
      </w:pPr>
    </w:p>
    <w:p w14:paraId="79FEEAB5" w14:textId="77777777" w:rsidR="008430CF"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iCs/>
          <w:sz w:val="24"/>
          <w:szCs w:val="24"/>
        </w:rPr>
        <w:t>Tsilira</w:t>
      </w:r>
      <w:proofErr w:type="spellEnd"/>
      <w:r w:rsidRPr="00600AFD">
        <w:rPr>
          <w:rFonts w:ascii="Times New Roman" w:hAnsi="Times New Roman" w:cs="Times New Roman"/>
          <w:i/>
          <w:iCs/>
          <w:sz w:val="24"/>
          <w:szCs w:val="24"/>
        </w:rPr>
        <w:t xml:space="preserve"> v. Greece</w:t>
      </w:r>
      <w:r w:rsidRPr="00600AFD">
        <w:rPr>
          <w:rFonts w:ascii="Times New Roman" w:hAnsi="Times New Roman" w:cs="Times New Roman"/>
          <w:sz w:val="24"/>
          <w:szCs w:val="24"/>
        </w:rPr>
        <w:t xml:space="preserve">, No. 44035/05, </w:t>
      </w:r>
      <w:r w:rsidR="00B57327" w:rsidRPr="00600AFD">
        <w:rPr>
          <w:rFonts w:ascii="Times New Roman" w:hAnsi="Times New Roman" w:cs="Times New Roman"/>
          <w:sz w:val="24"/>
          <w:szCs w:val="24"/>
        </w:rPr>
        <w:t>judgment</w:t>
      </w:r>
      <w:r w:rsidR="007A049F" w:rsidRPr="00600AFD">
        <w:rPr>
          <w:rFonts w:ascii="Times New Roman" w:hAnsi="Times New Roman" w:cs="Times New Roman"/>
          <w:sz w:val="24"/>
          <w:szCs w:val="24"/>
        </w:rPr>
        <w:t xml:space="preserve">, May 22, </w:t>
      </w:r>
      <w:r w:rsidRPr="00600AFD">
        <w:rPr>
          <w:rFonts w:ascii="Times New Roman" w:hAnsi="Times New Roman" w:cs="Times New Roman"/>
          <w:sz w:val="24"/>
          <w:szCs w:val="24"/>
        </w:rPr>
        <w:t xml:space="preserve">2008 </w:t>
      </w:r>
    </w:p>
    <w:p w14:paraId="437F0E7A" w14:textId="77777777" w:rsidR="008430CF"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sz w:val="24"/>
          <w:szCs w:val="24"/>
        </w:rPr>
        <w:t>Hentrich</w:t>
      </w:r>
      <w:proofErr w:type="spellEnd"/>
      <w:r w:rsidRPr="00600AFD">
        <w:rPr>
          <w:rFonts w:ascii="Times New Roman" w:hAnsi="Times New Roman" w:cs="Times New Roman"/>
          <w:i/>
          <w:sz w:val="24"/>
          <w:szCs w:val="24"/>
        </w:rPr>
        <w:t xml:space="preserve"> v. France</w:t>
      </w:r>
      <w:r w:rsidRPr="00600AFD">
        <w:rPr>
          <w:rFonts w:ascii="Times New Roman" w:hAnsi="Times New Roman" w:cs="Times New Roman"/>
          <w:sz w:val="24"/>
          <w:szCs w:val="24"/>
        </w:rPr>
        <w:t xml:space="preserve">, No. 13616/88, </w:t>
      </w:r>
      <w:r w:rsidR="007A049F" w:rsidRPr="00600AFD">
        <w:rPr>
          <w:rFonts w:ascii="Times New Roman" w:hAnsi="Times New Roman" w:cs="Times New Roman"/>
          <w:sz w:val="24"/>
          <w:szCs w:val="24"/>
        </w:rPr>
        <w:t xml:space="preserve">judgment, September </w:t>
      </w:r>
      <w:r w:rsidRPr="00600AFD">
        <w:rPr>
          <w:rFonts w:ascii="Times New Roman" w:hAnsi="Times New Roman" w:cs="Times New Roman"/>
          <w:sz w:val="24"/>
          <w:szCs w:val="24"/>
        </w:rPr>
        <w:t>22</w:t>
      </w:r>
      <w:r w:rsidR="007A049F" w:rsidRPr="00600AFD">
        <w:rPr>
          <w:rFonts w:ascii="Times New Roman" w:hAnsi="Times New Roman" w:cs="Times New Roman"/>
          <w:sz w:val="24"/>
          <w:szCs w:val="24"/>
        </w:rPr>
        <w:t xml:space="preserve">, </w:t>
      </w:r>
      <w:r w:rsidRPr="00600AFD">
        <w:rPr>
          <w:rFonts w:ascii="Times New Roman" w:hAnsi="Times New Roman" w:cs="Times New Roman"/>
          <w:sz w:val="24"/>
          <w:szCs w:val="24"/>
        </w:rPr>
        <w:t>1994</w:t>
      </w:r>
    </w:p>
    <w:p w14:paraId="7C5B275F" w14:textId="77777777" w:rsidR="00011441"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sz w:val="24"/>
          <w:szCs w:val="24"/>
        </w:rPr>
        <w:t>Probstmeiner</w:t>
      </w:r>
      <w:proofErr w:type="spellEnd"/>
      <w:r w:rsidRPr="00600AFD">
        <w:rPr>
          <w:rFonts w:ascii="Times New Roman" w:hAnsi="Times New Roman" w:cs="Times New Roman"/>
          <w:i/>
          <w:sz w:val="24"/>
          <w:szCs w:val="24"/>
        </w:rPr>
        <w:t xml:space="preserve"> v. </w:t>
      </w:r>
      <w:proofErr w:type="spellStart"/>
      <w:r w:rsidRPr="00600AFD">
        <w:rPr>
          <w:rFonts w:ascii="Times New Roman" w:hAnsi="Times New Roman" w:cs="Times New Roman"/>
          <w:i/>
          <w:sz w:val="24"/>
          <w:szCs w:val="24"/>
        </w:rPr>
        <w:t>Germani</w:t>
      </w:r>
      <w:proofErr w:type="spellEnd"/>
      <w:r w:rsidRPr="00600AFD">
        <w:rPr>
          <w:rFonts w:ascii="Times New Roman" w:hAnsi="Times New Roman" w:cs="Times New Roman"/>
          <w:sz w:val="24"/>
          <w:szCs w:val="24"/>
        </w:rPr>
        <w:t xml:space="preserve">, No. 20950/92, </w:t>
      </w:r>
      <w:r w:rsidR="007A049F" w:rsidRPr="00600AFD">
        <w:rPr>
          <w:rFonts w:ascii="Times New Roman" w:hAnsi="Times New Roman" w:cs="Times New Roman"/>
          <w:sz w:val="24"/>
          <w:szCs w:val="24"/>
        </w:rPr>
        <w:t xml:space="preserve">judgment, July </w:t>
      </w:r>
      <w:r w:rsidRPr="00600AFD">
        <w:rPr>
          <w:rFonts w:ascii="Times New Roman" w:hAnsi="Times New Roman" w:cs="Times New Roman"/>
          <w:sz w:val="24"/>
          <w:szCs w:val="24"/>
        </w:rPr>
        <w:t>1</w:t>
      </w:r>
      <w:r w:rsidR="007A049F" w:rsidRPr="00600AFD">
        <w:rPr>
          <w:rFonts w:ascii="Times New Roman" w:hAnsi="Times New Roman" w:cs="Times New Roman"/>
          <w:sz w:val="24"/>
          <w:szCs w:val="24"/>
        </w:rPr>
        <w:t xml:space="preserve">, </w:t>
      </w:r>
      <w:r w:rsidRPr="00600AFD">
        <w:rPr>
          <w:rFonts w:ascii="Times New Roman" w:hAnsi="Times New Roman" w:cs="Times New Roman"/>
          <w:sz w:val="24"/>
          <w:szCs w:val="24"/>
        </w:rPr>
        <w:t>1997</w:t>
      </w:r>
    </w:p>
    <w:p w14:paraId="50026B89" w14:textId="77777777" w:rsidR="008430CF"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sz w:val="24"/>
          <w:szCs w:val="24"/>
        </w:rPr>
        <w:t>Botazzi</w:t>
      </w:r>
      <w:proofErr w:type="spellEnd"/>
      <w:r w:rsidRPr="00600AFD">
        <w:rPr>
          <w:rFonts w:ascii="Times New Roman" w:hAnsi="Times New Roman" w:cs="Times New Roman"/>
          <w:i/>
          <w:sz w:val="24"/>
          <w:szCs w:val="24"/>
        </w:rPr>
        <w:t xml:space="preserve"> v. Italy</w:t>
      </w:r>
      <w:r w:rsidRPr="00600AFD">
        <w:rPr>
          <w:rFonts w:ascii="Times New Roman" w:hAnsi="Times New Roman" w:cs="Times New Roman"/>
          <w:sz w:val="24"/>
          <w:szCs w:val="24"/>
        </w:rPr>
        <w:t xml:space="preserve">, No. 34884/97, </w:t>
      </w:r>
      <w:r w:rsidR="007A049F" w:rsidRPr="00600AFD">
        <w:rPr>
          <w:rFonts w:ascii="Times New Roman" w:hAnsi="Times New Roman" w:cs="Times New Roman"/>
          <w:sz w:val="24"/>
          <w:szCs w:val="24"/>
        </w:rPr>
        <w:t xml:space="preserve">judgment, July </w:t>
      </w:r>
      <w:r w:rsidRPr="00600AFD">
        <w:rPr>
          <w:rFonts w:ascii="Times New Roman" w:hAnsi="Times New Roman" w:cs="Times New Roman"/>
          <w:sz w:val="24"/>
          <w:szCs w:val="24"/>
        </w:rPr>
        <w:t>28</w:t>
      </w:r>
      <w:r w:rsidR="007A049F" w:rsidRPr="00600AFD">
        <w:rPr>
          <w:rFonts w:ascii="Times New Roman" w:hAnsi="Times New Roman" w:cs="Times New Roman"/>
          <w:sz w:val="24"/>
          <w:szCs w:val="24"/>
        </w:rPr>
        <w:t xml:space="preserve">, </w:t>
      </w:r>
      <w:r w:rsidRPr="00600AFD">
        <w:rPr>
          <w:rFonts w:ascii="Times New Roman" w:hAnsi="Times New Roman" w:cs="Times New Roman"/>
          <w:sz w:val="24"/>
          <w:szCs w:val="24"/>
        </w:rPr>
        <w:t>1999</w:t>
      </w:r>
    </w:p>
    <w:p w14:paraId="07E442B6" w14:textId="77777777" w:rsidR="008430CF" w:rsidRPr="00600AFD" w:rsidRDefault="008430CF" w:rsidP="004A2704">
      <w:pPr>
        <w:pStyle w:val="FootnoteText"/>
        <w:numPr>
          <w:ilvl w:val="0"/>
          <w:numId w:val="2"/>
        </w:numPr>
        <w:ind w:left="426" w:hanging="426"/>
        <w:rPr>
          <w:rFonts w:ascii="Times New Roman" w:hAnsi="Times New Roman" w:cs="Times New Roman"/>
          <w:sz w:val="24"/>
          <w:szCs w:val="24"/>
        </w:rPr>
      </w:pPr>
      <w:r w:rsidRPr="00600AFD">
        <w:rPr>
          <w:rFonts w:ascii="Times New Roman" w:hAnsi="Times New Roman" w:cs="Times New Roman"/>
          <w:i/>
          <w:sz w:val="24"/>
          <w:szCs w:val="24"/>
        </w:rPr>
        <w:t>Zimmermann and</w:t>
      </w:r>
      <w:r w:rsidRPr="00600AFD">
        <w:rPr>
          <w:rFonts w:ascii="Times New Roman" w:hAnsi="Times New Roman" w:cs="Times New Roman"/>
          <w:sz w:val="24"/>
          <w:szCs w:val="24"/>
        </w:rPr>
        <w:t xml:space="preserve"> </w:t>
      </w:r>
      <w:r w:rsidRPr="00600AFD">
        <w:rPr>
          <w:rFonts w:ascii="Times New Roman" w:hAnsi="Times New Roman" w:cs="Times New Roman"/>
          <w:i/>
          <w:sz w:val="24"/>
          <w:szCs w:val="24"/>
        </w:rPr>
        <w:t>Steiner</w:t>
      </w:r>
      <w:r w:rsidRPr="00600AFD">
        <w:rPr>
          <w:rFonts w:ascii="Times New Roman" w:hAnsi="Times New Roman" w:cs="Times New Roman"/>
          <w:sz w:val="24"/>
          <w:szCs w:val="24"/>
        </w:rPr>
        <w:t xml:space="preserve"> </w:t>
      </w:r>
      <w:r w:rsidRPr="00600AFD">
        <w:rPr>
          <w:rFonts w:ascii="Times New Roman" w:hAnsi="Times New Roman" w:cs="Times New Roman"/>
          <w:i/>
          <w:sz w:val="24"/>
          <w:szCs w:val="24"/>
        </w:rPr>
        <w:t>v. Switzerland</w:t>
      </w:r>
      <w:r w:rsidRPr="00600AFD">
        <w:rPr>
          <w:rFonts w:ascii="Times New Roman" w:hAnsi="Times New Roman" w:cs="Times New Roman"/>
          <w:sz w:val="24"/>
          <w:szCs w:val="24"/>
        </w:rPr>
        <w:t xml:space="preserve">, </w:t>
      </w:r>
      <w:r w:rsidRPr="00600AFD">
        <w:rPr>
          <w:rFonts w:ascii="Times New Roman" w:hAnsi="Times New Roman" w:cs="Times New Roman"/>
          <w:sz w:val="24"/>
          <w:szCs w:val="24"/>
          <w:shd w:val="clear" w:color="auto" w:fill="FFFFFF"/>
        </w:rPr>
        <w:t>No.</w:t>
      </w:r>
      <w:r w:rsidRPr="00600AFD">
        <w:rPr>
          <w:rFonts w:ascii="Times New Roman" w:hAnsi="Times New Roman" w:cs="Times New Roman"/>
          <w:sz w:val="24"/>
          <w:szCs w:val="24"/>
        </w:rPr>
        <w:t xml:space="preserve"> 8737/79, </w:t>
      </w:r>
      <w:r w:rsidR="007A049F" w:rsidRPr="00600AFD">
        <w:rPr>
          <w:rFonts w:ascii="Times New Roman" w:hAnsi="Times New Roman" w:cs="Times New Roman"/>
          <w:sz w:val="24"/>
          <w:szCs w:val="24"/>
        </w:rPr>
        <w:t xml:space="preserve">judgment, July </w:t>
      </w:r>
      <w:r w:rsidRPr="00600AFD">
        <w:rPr>
          <w:rFonts w:ascii="Times New Roman" w:hAnsi="Times New Roman" w:cs="Times New Roman"/>
          <w:sz w:val="24"/>
          <w:szCs w:val="24"/>
        </w:rPr>
        <w:t>13</w:t>
      </w:r>
      <w:r w:rsidR="007A049F" w:rsidRPr="00600AFD">
        <w:rPr>
          <w:rFonts w:ascii="Times New Roman" w:hAnsi="Times New Roman" w:cs="Times New Roman"/>
          <w:sz w:val="24"/>
          <w:szCs w:val="24"/>
        </w:rPr>
        <w:t xml:space="preserve">, </w:t>
      </w:r>
      <w:r w:rsidRPr="00600AFD">
        <w:rPr>
          <w:rFonts w:ascii="Times New Roman" w:hAnsi="Times New Roman" w:cs="Times New Roman"/>
          <w:sz w:val="24"/>
          <w:szCs w:val="24"/>
        </w:rPr>
        <w:t xml:space="preserve">1983 </w:t>
      </w:r>
    </w:p>
    <w:p w14:paraId="5ADFEEB9" w14:textId="77777777" w:rsidR="008430CF"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iCs/>
          <w:sz w:val="24"/>
          <w:szCs w:val="24"/>
        </w:rPr>
        <w:t>Burdov</w:t>
      </w:r>
      <w:proofErr w:type="spellEnd"/>
      <w:r w:rsidRPr="00600AFD">
        <w:rPr>
          <w:rFonts w:ascii="Times New Roman" w:hAnsi="Times New Roman" w:cs="Times New Roman"/>
          <w:i/>
          <w:iCs/>
          <w:sz w:val="24"/>
          <w:szCs w:val="24"/>
        </w:rPr>
        <w:t xml:space="preserve"> v. Russia</w:t>
      </w:r>
      <w:r w:rsidRPr="00600AFD">
        <w:rPr>
          <w:rFonts w:ascii="Times New Roman" w:hAnsi="Times New Roman" w:cs="Times New Roman"/>
          <w:sz w:val="24"/>
          <w:szCs w:val="24"/>
        </w:rPr>
        <w:t xml:space="preserve"> (2), </w:t>
      </w:r>
      <w:r w:rsidRPr="00600AFD">
        <w:rPr>
          <w:rFonts w:ascii="Times New Roman" w:hAnsi="Times New Roman" w:cs="Times New Roman"/>
          <w:sz w:val="24"/>
          <w:szCs w:val="24"/>
          <w:shd w:val="clear" w:color="auto" w:fill="FFFFFF"/>
        </w:rPr>
        <w:t>No.</w:t>
      </w:r>
      <w:r w:rsidRPr="00600AFD">
        <w:rPr>
          <w:rFonts w:ascii="Times New Roman" w:hAnsi="Times New Roman" w:cs="Times New Roman"/>
          <w:sz w:val="24"/>
          <w:szCs w:val="24"/>
        </w:rPr>
        <w:t xml:space="preserve">33509/04, </w:t>
      </w:r>
      <w:r w:rsidR="007A049F" w:rsidRPr="00600AFD">
        <w:rPr>
          <w:rFonts w:ascii="Times New Roman" w:hAnsi="Times New Roman" w:cs="Times New Roman"/>
          <w:sz w:val="24"/>
          <w:szCs w:val="24"/>
        </w:rPr>
        <w:t xml:space="preserve">judgment, January </w:t>
      </w:r>
      <w:r w:rsidRPr="00600AFD">
        <w:rPr>
          <w:rFonts w:ascii="Times New Roman" w:hAnsi="Times New Roman" w:cs="Times New Roman"/>
          <w:sz w:val="24"/>
          <w:szCs w:val="24"/>
        </w:rPr>
        <w:t>15</w:t>
      </w:r>
      <w:r w:rsidR="007A049F" w:rsidRPr="00600AFD">
        <w:rPr>
          <w:rFonts w:ascii="Times New Roman" w:hAnsi="Times New Roman" w:cs="Times New Roman"/>
          <w:sz w:val="24"/>
          <w:szCs w:val="24"/>
        </w:rPr>
        <w:t xml:space="preserve">, </w:t>
      </w:r>
      <w:r w:rsidRPr="00600AFD">
        <w:rPr>
          <w:rFonts w:ascii="Times New Roman" w:hAnsi="Times New Roman" w:cs="Times New Roman"/>
          <w:sz w:val="24"/>
          <w:szCs w:val="24"/>
        </w:rPr>
        <w:t>2009</w:t>
      </w:r>
    </w:p>
    <w:p w14:paraId="5BD6084C" w14:textId="77777777" w:rsidR="008430CF"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sz w:val="24"/>
          <w:szCs w:val="24"/>
        </w:rPr>
        <w:t>Milasi</w:t>
      </w:r>
      <w:proofErr w:type="spellEnd"/>
      <w:r w:rsidRPr="00600AFD">
        <w:rPr>
          <w:rFonts w:ascii="Times New Roman" w:hAnsi="Times New Roman" w:cs="Times New Roman"/>
          <w:i/>
          <w:sz w:val="24"/>
          <w:szCs w:val="24"/>
        </w:rPr>
        <w:t xml:space="preserve"> v. Italy</w:t>
      </w:r>
      <w:r w:rsidRPr="00600AFD">
        <w:rPr>
          <w:rFonts w:ascii="Times New Roman" w:hAnsi="Times New Roman" w:cs="Times New Roman"/>
          <w:sz w:val="24"/>
          <w:szCs w:val="24"/>
        </w:rPr>
        <w:t xml:space="preserve">, No. 10527/83, </w:t>
      </w:r>
      <w:r w:rsidR="007A049F" w:rsidRPr="00600AFD">
        <w:rPr>
          <w:rFonts w:ascii="Times New Roman" w:hAnsi="Times New Roman" w:cs="Times New Roman"/>
          <w:sz w:val="24"/>
          <w:szCs w:val="24"/>
        </w:rPr>
        <w:t xml:space="preserve">judgment, June 25, </w:t>
      </w:r>
      <w:r w:rsidRPr="00600AFD">
        <w:rPr>
          <w:rFonts w:ascii="Times New Roman" w:hAnsi="Times New Roman" w:cs="Times New Roman"/>
          <w:sz w:val="24"/>
          <w:szCs w:val="24"/>
        </w:rPr>
        <w:t>1987</w:t>
      </w:r>
    </w:p>
    <w:p w14:paraId="3D092453" w14:textId="2E23469D" w:rsidR="008430CF"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iCs/>
          <w:sz w:val="24"/>
          <w:szCs w:val="24"/>
        </w:rPr>
        <w:t>Foti</w:t>
      </w:r>
      <w:proofErr w:type="spellEnd"/>
      <w:r w:rsidRPr="00600AFD">
        <w:rPr>
          <w:rFonts w:ascii="Times New Roman" w:hAnsi="Times New Roman" w:cs="Times New Roman"/>
          <w:i/>
          <w:iCs/>
          <w:sz w:val="24"/>
          <w:szCs w:val="24"/>
        </w:rPr>
        <w:t xml:space="preserve"> v. Italy</w:t>
      </w:r>
      <w:r w:rsidRPr="00600AFD">
        <w:rPr>
          <w:rFonts w:ascii="Times New Roman" w:hAnsi="Times New Roman" w:cs="Times New Roman"/>
          <w:sz w:val="24"/>
          <w:szCs w:val="24"/>
        </w:rPr>
        <w:t xml:space="preserve">, </w:t>
      </w:r>
      <w:proofErr w:type="spellStart"/>
      <w:r w:rsidRPr="00600AFD">
        <w:rPr>
          <w:rFonts w:ascii="Times New Roman" w:hAnsi="Times New Roman" w:cs="Times New Roman"/>
          <w:sz w:val="24"/>
          <w:szCs w:val="24"/>
        </w:rPr>
        <w:t>serija</w:t>
      </w:r>
      <w:proofErr w:type="spellEnd"/>
      <w:r w:rsidRPr="00600AFD">
        <w:rPr>
          <w:rFonts w:ascii="Times New Roman" w:hAnsi="Times New Roman" w:cs="Times New Roman"/>
          <w:sz w:val="24"/>
          <w:szCs w:val="24"/>
        </w:rPr>
        <w:t xml:space="preserve"> A, </w:t>
      </w:r>
      <w:r w:rsidR="0025369F" w:rsidRPr="00600AFD">
        <w:rPr>
          <w:rFonts w:ascii="Times New Roman" w:hAnsi="Times New Roman" w:cs="Times New Roman"/>
          <w:sz w:val="24"/>
          <w:szCs w:val="24"/>
        </w:rPr>
        <w:t xml:space="preserve">No. </w:t>
      </w:r>
      <w:r w:rsidRPr="00600AFD">
        <w:rPr>
          <w:rFonts w:ascii="Times New Roman" w:hAnsi="Times New Roman" w:cs="Times New Roman"/>
          <w:sz w:val="24"/>
          <w:szCs w:val="24"/>
        </w:rPr>
        <w:t xml:space="preserve">56 </w:t>
      </w:r>
      <w:r w:rsidR="0025369F" w:rsidRPr="00600AFD">
        <w:rPr>
          <w:rFonts w:ascii="Times New Roman" w:hAnsi="Times New Roman" w:cs="Times New Roman"/>
          <w:sz w:val="24"/>
          <w:szCs w:val="24"/>
        </w:rPr>
        <w:t xml:space="preserve">and </w:t>
      </w:r>
      <w:r w:rsidRPr="00600AFD">
        <w:rPr>
          <w:rFonts w:ascii="Times New Roman" w:hAnsi="Times New Roman" w:cs="Times New Roman"/>
          <w:sz w:val="24"/>
          <w:szCs w:val="24"/>
        </w:rPr>
        <w:t xml:space="preserve">69, § 52, </w:t>
      </w:r>
      <w:r w:rsidR="007A049F" w:rsidRPr="00600AFD">
        <w:rPr>
          <w:rFonts w:ascii="Times New Roman" w:hAnsi="Times New Roman" w:cs="Times New Roman"/>
          <w:sz w:val="24"/>
          <w:szCs w:val="24"/>
        </w:rPr>
        <w:t xml:space="preserve">judgment, December 10, </w:t>
      </w:r>
      <w:r w:rsidRPr="00600AFD">
        <w:rPr>
          <w:rFonts w:ascii="Times New Roman" w:hAnsi="Times New Roman" w:cs="Times New Roman"/>
          <w:sz w:val="24"/>
          <w:szCs w:val="24"/>
        </w:rPr>
        <w:t>1982</w:t>
      </w:r>
    </w:p>
    <w:p w14:paraId="22C36064" w14:textId="77777777" w:rsidR="008430CF" w:rsidRPr="00600AFD" w:rsidRDefault="008430CF" w:rsidP="004A2704">
      <w:pPr>
        <w:pStyle w:val="FootnoteText"/>
        <w:numPr>
          <w:ilvl w:val="0"/>
          <w:numId w:val="2"/>
        </w:numPr>
        <w:ind w:left="426" w:hanging="426"/>
        <w:rPr>
          <w:rFonts w:ascii="Times New Roman" w:hAnsi="Times New Roman" w:cs="Times New Roman"/>
          <w:sz w:val="24"/>
          <w:szCs w:val="24"/>
        </w:rPr>
      </w:pPr>
      <w:proofErr w:type="spellStart"/>
      <w:r w:rsidRPr="00600AFD">
        <w:rPr>
          <w:rFonts w:ascii="Times New Roman" w:hAnsi="Times New Roman" w:cs="Times New Roman"/>
          <w:i/>
          <w:sz w:val="24"/>
          <w:szCs w:val="24"/>
          <w:shd w:val="clear" w:color="auto" w:fill="FFFFFF"/>
        </w:rPr>
        <w:t>Sussmann</w:t>
      </w:r>
      <w:proofErr w:type="spellEnd"/>
      <w:r w:rsidRPr="00600AFD">
        <w:rPr>
          <w:rFonts w:ascii="Times New Roman" w:hAnsi="Times New Roman" w:cs="Times New Roman"/>
          <w:i/>
          <w:sz w:val="24"/>
          <w:szCs w:val="24"/>
          <w:shd w:val="clear" w:color="auto" w:fill="FFFFFF"/>
        </w:rPr>
        <w:t xml:space="preserve"> v. Germany</w:t>
      </w:r>
      <w:r w:rsidRPr="00600AFD">
        <w:rPr>
          <w:rFonts w:ascii="Times New Roman" w:hAnsi="Times New Roman" w:cs="Times New Roman"/>
          <w:sz w:val="24"/>
          <w:szCs w:val="24"/>
          <w:shd w:val="clear" w:color="auto" w:fill="FFFFFF"/>
        </w:rPr>
        <w:t>, No. 200224/92</w:t>
      </w:r>
      <w:r w:rsidR="007A049F" w:rsidRPr="00600AFD">
        <w:rPr>
          <w:rFonts w:ascii="Times New Roman" w:hAnsi="Times New Roman" w:cs="Times New Roman"/>
          <w:sz w:val="24"/>
          <w:szCs w:val="24"/>
          <w:shd w:val="clear" w:color="auto" w:fill="FFFFFF"/>
        </w:rPr>
        <w:t xml:space="preserve">, </w:t>
      </w:r>
      <w:r w:rsidR="007A049F" w:rsidRPr="00600AFD">
        <w:rPr>
          <w:rFonts w:ascii="Times New Roman" w:hAnsi="Times New Roman" w:cs="Times New Roman"/>
          <w:sz w:val="24"/>
          <w:szCs w:val="24"/>
        </w:rPr>
        <w:t>judgment</w:t>
      </w:r>
      <w:r w:rsidR="007A049F" w:rsidRPr="00600AFD">
        <w:rPr>
          <w:rFonts w:ascii="Times New Roman" w:hAnsi="Times New Roman" w:cs="Times New Roman"/>
          <w:sz w:val="24"/>
          <w:szCs w:val="24"/>
          <w:shd w:val="clear" w:color="auto" w:fill="FFFFFF"/>
        </w:rPr>
        <w:t xml:space="preserve">, September 16, </w:t>
      </w:r>
      <w:r w:rsidRPr="00600AFD">
        <w:rPr>
          <w:rFonts w:ascii="Times New Roman" w:hAnsi="Times New Roman" w:cs="Times New Roman"/>
          <w:sz w:val="24"/>
          <w:szCs w:val="24"/>
          <w:shd w:val="clear" w:color="auto" w:fill="FFFFFF"/>
        </w:rPr>
        <w:t>1996</w:t>
      </w:r>
    </w:p>
    <w:p w14:paraId="3CED1BCE" w14:textId="77777777" w:rsidR="00D7500C" w:rsidRPr="00600AFD" w:rsidRDefault="00D7500C" w:rsidP="004A2704">
      <w:pPr>
        <w:spacing w:after="0"/>
        <w:rPr>
          <w:rFonts w:ascii="Times New Roman" w:hAnsi="Times New Roman" w:cs="Times New Roman"/>
          <w:szCs w:val="24"/>
        </w:rPr>
      </w:pPr>
    </w:p>
    <w:sectPr w:rsidR="00D7500C" w:rsidRPr="00600AFD" w:rsidSect="008A53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46FD5" w14:textId="77777777" w:rsidR="00E27D4A" w:rsidRDefault="00E27D4A" w:rsidP="00B84630">
      <w:pPr>
        <w:spacing w:after="0"/>
      </w:pPr>
      <w:r>
        <w:separator/>
      </w:r>
    </w:p>
  </w:endnote>
  <w:endnote w:type="continuationSeparator" w:id="0">
    <w:p w14:paraId="55786538" w14:textId="77777777" w:rsidR="00E27D4A" w:rsidRDefault="00E27D4A" w:rsidP="00B84630">
      <w:pPr>
        <w:spacing w:after="0"/>
      </w:pPr>
      <w:r>
        <w:continuationSeparator/>
      </w:r>
    </w:p>
  </w:endnote>
  <w:endnote w:type="continuationNotice" w:id="1">
    <w:p w14:paraId="7605C27B" w14:textId="77777777" w:rsidR="00E27D4A" w:rsidRDefault="00E27D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49014806"/>
      <w:docPartObj>
        <w:docPartGallery w:val="Page Numbers (Bottom of Page)"/>
        <w:docPartUnique/>
      </w:docPartObj>
    </w:sdtPr>
    <w:sdtEndPr>
      <w:rPr>
        <w:noProof/>
      </w:rPr>
    </w:sdtEndPr>
    <w:sdtContent>
      <w:p w14:paraId="5C77896A" w14:textId="77777777" w:rsidR="00600AFD" w:rsidRPr="00D82920" w:rsidRDefault="00600AFD">
        <w:pPr>
          <w:pStyle w:val="Footer"/>
          <w:jc w:val="right"/>
          <w:rPr>
            <w:rFonts w:ascii="Times New Roman" w:hAnsi="Times New Roman" w:cs="Times New Roman"/>
            <w:sz w:val="22"/>
          </w:rPr>
        </w:pPr>
        <w:r w:rsidRPr="00D82920">
          <w:rPr>
            <w:rFonts w:ascii="Times New Roman" w:hAnsi="Times New Roman" w:cs="Times New Roman"/>
            <w:noProof/>
            <w:sz w:val="22"/>
          </w:rPr>
          <w:fldChar w:fldCharType="begin"/>
        </w:r>
        <w:r w:rsidRPr="00D82920">
          <w:rPr>
            <w:rFonts w:ascii="Times New Roman" w:hAnsi="Times New Roman" w:cs="Times New Roman"/>
            <w:noProof/>
            <w:sz w:val="22"/>
          </w:rPr>
          <w:instrText xml:space="preserve"> PAGE   \* MERGEFORMAT </w:instrText>
        </w:r>
        <w:r w:rsidRPr="00D82920">
          <w:rPr>
            <w:rFonts w:ascii="Times New Roman" w:hAnsi="Times New Roman" w:cs="Times New Roman"/>
            <w:noProof/>
            <w:sz w:val="22"/>
          </w:rPr>
          <w:fldChar w:fldCharType="separate"/>
        </w:r>
        <w:r w:rsidRPr="00D82920">
          <w:rPr>
            <w:rFonts w:ascii="Times New Roman" w:hAnsi="Times New Roman" w:cs="Times New Roman"/>
            <w:noProof/>
            <w:sz w:val="22"/>
          </w:rPr>
          <w:t>42</w:t>
        </w:r>
        <w:r w:rsidRPr="00D82920">
          <w:rPr>
            <w:rFonts w:ascii="Times New Roman" w:hAnsi="Times New Roman" w:cs="Times New Roman"/>
            <w:noProof/>
            <w:sz w:val="22"/>
          </w:rPr>
          <w:fldChar w:fldCharType="end"/>
        </w:r>
      </w:p>
    </w:sdtContent>
  </w:sdt>
  <w:p w14:paraId="70DF9B0B" w14:textId="77777777" w:rsidR="00600AFD" w:rsidRDefault="00600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65026" w14:textId="77777777" w:rsidR="00E27D4A" w:rsidRDefault="00E27D4A" w:rsidP="00B84630">
      <w:pPr>
        <w:spacing w:after="0"/>
      </w:pPr>
      <w:r>
        <w:separator/>
      </w:r>
    </w:p>
  </w:footnote>
  <w:footnote w:type="continuationSeparator" w:id="0">
    <w:p w14:paraId="51C83D20" w14:textId="77777777" w:rsidR="00E27D4A" w:rsidRDefault="00E27D4A" w:rsidP="00B84630">
      <w:pPr>
        <w:spacing w:after="0"/>
      </w:pPr>
      <w:r>
        <w:continuationSeparator/>
      </w:r>
    </w:p>
  </w:footnote>
  <w:footnote w:type="continuationNotice" w:id="1">
    <w:p w14:paraId="20265BCC" w14:textId="77777777" w:rsidR="00E27D4A" w:rsidRDefault="00E27D4A">
      <w:pPr>
        <w:spacing w:after="0"/>
      </w:pPr>
    </w:p>
  </w:footnote>
  <w:footnote w:id="2">
    <w:p w14:paraId="5E3BDA35" w14:textId="5D6DF8F1" w:rsidR="00600AFD" w:rsidRPr="00600AFD" w:rsidRDefault="00600AFD">
      <w:pPr>
        <w:pStyle w:val="FootnoteText"/>
        <w:rPr>
          <w:rFonts w:ascii="Times New Roman" w:hAnsi="Times New Roman" w:cs="Times New Roman"/>
        </w:rPr>
      </w:pPr>
      <w:r w:rsidRPr="00600AFD">
        <w:rPr>
          <w:rStyle w:val="FootnoteReference"/>
          <w:rFonts w:ascii="Times New Roman" w:hAnsi="Times New Roman" w:cs="Times New Roman"/>
        </w:rPr>
        <w:footnoteRef/>
      </w:r>
      <w:r w:rsidRPr="00600AFD">
        <w:rPr>
          <w:rFonts w:ascii="Times New Roman" w:hAnsi="Times New Roman" w:cs="Times New Roman"/>
        </w:rPr>
        <w:t xml:space="preserve"> Decision on Adoption of the National Judicial Reform Strategy, “Official Gazette of the Republic of Serbia”, no. 44/06.</w:t>
      </w:r>
    </w:p>
  </w:footnote>
  <w:footnote w:id="3">
    <w:p w14:paraId="392EF91F" w14:textId="5EF41981" w:rsidR="00600AFD" w:rsidRPr="00600AFD" w:rsidRDefault="00600AFD" w:rsidP="00E20120">
      <w:pPr>
        <w:pStyle w:val="FootnoteText"/>
        <w:rPr>
          <w:rFonts w:ascii="Times New Roman" w:hAnsi="Times New Roman" w:cs="Times New Roman"/>
        </w:rPr>
      </w:pPr>
      <w:r w:rsidRPr="00600AFD">
        <w:rPr>
          <w:rStyle w:val="FootnoteReference"/>
          <w:rFonts w:ascii="Times New Roman" w:hAnsi="Times New Roman" w:cs="Times New Roman"/>
        </w:rPr>
        <w:footnoteRef/>
      </w:r>
      <w:r w:rsidRPr="00600AFD">
        <w:rPr>
          <w:rFonts w:ascii="Times New Roman" w:hAnsi="Times New Roman" w:cs="Times New Roman"/>
        </w:rPr>
        <w:t xml:space="preserve"> National Judicial Reform Strategy for the 2013-2018 period, “Official Gazette of the Republic of Serbia”, no. 57/13.</w:t>
      </w:r>
    </w:p>
  </w:footnote>
  <w:footnote w:id="4">
    <w:p w14:paraId="5A17FA3E" w14:textId="77777777" w:rsidR="00600AFD" w:rsidRPr="00600AFD" w:rsidRDefault="00600AFD" w:rsidP="00E20120">
      <w:pPr>
        <w:pStyle w:val="FootnoteText"/>
        <w:rPr>
          <w:rFonts w:ascii="Times New Roman" w:hAnsi="Times New Roman" w:cs="Times New Roman"/>
        </w:rPr>
      </w:pPr>
      <w:r w:rsidRPr="00600AFD">
        <w:rPr>
          <w:rStyle w:val="FootnoteReference"/>
          <w:rFonts w:ascii="Times New Roman" w:hAnsi="Times New Roman" w:cs="Times New Roman"/>
        </w:rPr>
        <w:footnoteRef/>
      </w:r>
      <w:r w:rsidRPr="00600AFD">
        <w:rPr>
          <w:rFonts w:ascii="Times New Roman" w:hAnsi="Times New Roman" w:cs="Times New Roman"/>
        </w:rPr>
        <w:t xml:space="preserve"> Chapter 23 Screening Report, available at: </w:t>
      </w:r>
      <w:hyperlink r:id="rId1" w:history="1">
        <w:r w:rsidRPr="00600AFD">
          <w:rPr>
            <w:rStyle w:val="Hyperlink"/>
            <w:rFonts w:ascii="Times New Roman" w:hAnsi="Times New Roman"/>
          </w:rPr>
          <w:t>https://mpravde.gov.rs/tekts/7073-izvestaj-o-skriningu.php</w:t>
        </w:r>
      </w:hyperlink>
      <w:r w:rsidRPr="00600AFD">
        <w:rPr>
          <w:rFonts w:ascii="Times New Roman" w:hAnsi="Times New Roman" w:cs="Times New Roman"/>
        </w:rPr>
        <w:t xml:space="preserve">, accessed June 25, 2018. </w:t>
      </w:r>
    </w:p>
  </w:footnote>
  <w:footnote w:id="5">
    <w:p w14:paraId="64E81083" w14:textId="77777777" w:rsidR="00600AFD" w:rsidRPr="00600AFD" w:rsidRDefault="00600AFD" w:rsidP="00E20120">
      <w:pPr>
        <w:pStyle w:val="FootnoteText"/>
        <w:rPr>
          <w:rFonts w:ascii="Times New Roman" w:hAnsi="Times New Roman" w:cs="Times New Roman"/>
        </w:rPr>
      </w:pPr>
      <w:r w:rsidRPr="00600AFD">
        <w:rPr>
          <w:rStyle w:val="FootnoteReference"/>
          <w:rFonts w:ascii="Times New Roman" w:hAnsi="Times New Roman" w:cs="Times New Roman"/>
        </w:rPr>
        <w:footnoteRef/>
      </w:r>
      <w:r w:rsidRPr="00600AFD">
        <w:rPr>
          <w:rFonts w:ascii="Times New Roman" w:hAnsi="Times New Roman" w:cs="Times New Roman"/>
        </w:rPr>
        <w:t xml:space="preserve"> Chapter 23 Negotiation Position, available at: </w:t>
      </w:r>
      <w:hyperlink r:id="rId2" w:history="1">
        <w:r w:rsidRPr="00600AFD">
          <w:rPr>
            <w:rStyle w:val="Hyperlink"/>
            <w:rFonts w:ascii="Times New Roman" w:hAnsi="Times New Roman"/>
          </w:rPr>
          <w:t>https://mpravde.gov.rs/tekst/13244/pregovaracka-pozicija.php</w:t>
        </w:r>
      </w:hyperlink>
      <w:r w:rsidRPr="00600AFD">
        <w:rPr>
          <w:rFonts w:ascii="Times New Roman" w:hAnsi="Times New Roman" w:cs="Times New Roman"/>
        </w:rPr>
        <w:t xml:space="preserve"> , accessed December 12, 2018. </w:t>
      </w:r>
    </w:p>
  </w:footnote>
  <w:footnote w:id="6">
    <w:p w14:paraId="43A3FCFD" w14:textId="6FE10767" w:rsidR="00600AFD" w:rsidRPr="00600AFD" w:rsidRDefault="00600AFD">
      <w:pPr>
        <w:pStyle w:val="FootnoteText"/>
        <w:rPr>
          <w:rFonts w:ascii="Times New Roman" w:hAnsi="Times New Roman" w:cs="Times New Roman"/>
        </w:rPr>
      </w:pPr>
      <w:r w:rsidRPr="00600AFD">
        <w:rPr>
          <w:rStyle w:val="FootnoteReference"/>
          <w:rFonts w:ascii="Times New Roman" w:hAnsi="Times New Roman" w:cs="Times New Roman"/>
        </w:rPr>
        <w:footnoteRef/>
      </w:r>
      <w:r w:rsidRPr="00600AFD">
        <w:rPr>
          <w:rFonts w:ascii="Times New Roman" w:hAnsi="Times New Roman" w:cs="Times New Roman"/>
        </w:rPr>
        <w:t xml:space="preserve"> Law on State Administration “Official Gazette of the Republic of Serbia” no. 79/05, 101/07, 95/10, 99/14, 30/18- other law and 47/18.</w:t>
      </w:r>
    </w:p>
  </w:footnote>
  <w:footnote w:id="7">
    <w:p w14:paraId="22B1C9B5" w14:textId="18BEC79E" w:rsidR="00600AFD" w:rsidRPr="00600AFD" w:rsidRDefault="00600AFD" w:rsidP="00916942">
      <w:pPr>
        <w:pStyle w:val="FootnoteText"/>
        <w:rPr>
          <w:rFonts w:ascii="Times New Roman" w:hAnsi="Times New Roman" w:cs="Times New Roman"/>
        </w:rPr>
      </w:pPr>
      <w:r w:rsidRPr="00600AFD">
        <w:rPr>
          <w:rStyle w:val="FootnoteReference"/>
          <w:rFonts w:ascii="Times New Roman" w:hAnsi="Times New Roman" w:cs="Times New Roman"/>
        </w:rPr>
        <w:footnoteRef/>
      </w:r>
      <w:r w:rsidRPr="00600AFD">
        <w:rPr>
          <w:rFonts w:ascii="Times New Roman" w:hAnsi="Times New Roman" w:cs="Times New Roman"/>
        </w:rPr>
        <w:t xml:space="preserve"> Law on Ministries “Official Gazette of the Republic of Serbia” no. 44/14, 14/15, 54/15, 96/15-11 -other Law and 62/17.</w:t>
      </w:r>
    </w:p>
  </w:footnote>
  <w:footnote w:id="8">
    <w:p w14:paraId="14DDC396" w14:textId="0CBF9A76" w:rsidR="00E8448E" w:rsidRDefault="00E8448E">
      <w:pPr>
        <w:pStyle w:val="FootnoteText"/>
      </w:pPr>
      <w:r>
        <w:rPr>
          <w:rStyle w:val="FootnoteReference"/>
        </w:rPr>
        <w:footnoteRef/>
      </w:r>
      <w:r>
        <w:t xml:space="preserve"> Law on the Planning System </w:t>
      </w:r>
      <w:r w:rsidRPr="00600AFD">
        <w:rPr>
          <w:rFonts w:ascii="Times New Roman" w:hAnsi="Times New Roman" w:cs="Times New Roman"/>
        </w:rPr>
        <w:t>“Official Gazette of the Republic of Serbia” no.</w:t>
      </w:r>
      <w:r>
        <w:rPr>
          <w:rFonts w:ascii="Times New Roman" w:hAnsi="Times New Roman" w:cs="Times New Roman"/>
        </w:rPr>
        <w:t xml:space="preserve"> 30/18.</w:t>
      </w:r>
    </w:p>
  </w:footnote>
  <w:footnote w:id="9">
    <w:p w14:paraId="19F583DF" w14:textId="5CB785BE" w:rsidR="00600AFD" w:rsidRPr="00600AFD" w:rsidRDefault="00600AFD" w:rsidP="00BA22C1">
      <w:pPr>
        <w:pStyle w:val="FootnoteText"/>
        <w:rPr>
          <w:rFonts w:ascii="Times New Roman" w:hAnsi="Times New Roman" w:cs="Times New Roman"/>
          <w:lang w:val="sr-Latn-RS"/>
        </w:rPr>
      </w:pPr>
      <w:r w:rsidRPr="00600AFD">
        <w:rPr>
          <w:rStyle w:val="FootnoteReference"/>
          <w:rFonts w:ascii="Times New Roman" w:hAnsi="Times New Roman" w:cs="Times New Roman"/>
        </w:rPr>
        <w:footnoteRef/>
      </w:r>
      <w:r w:rsidRPr="00600AFD">
        <w:rPr>
          <w:rFonts w:ascii="Times New Roman" w:hAnsi="Times New Roman" w:cs="Times New Roman"/>
        </w:rPr>
        <w:t xml:space="preserve"> Activity No. 1.3.11.3 directly envisages defining reform measures based upon the results assessments ending with the year 2018.</w:t>
      </w:r>
    </w:p>
  </w:footnote>
  <w:footnote w:id="10">
    <w:p w14:paraId="783E6A10" w14:textId="4EB7D393" w:rsidR="00600AFD" w:rsidRPr="00600AFD" w:rsidRDefault="00600AFD" w:rsidP="00BA22C1">
      <w:pPr>
        <w:pStyle w:val="FootnoteText"/>
        <w:rPr>
          <w:rFonts w:ascii="Times New Roman" w:hAnsi="Times New Roman" w:cs="Times New Roman"/>
          <w:lang w:val="sr-Latn-RS"/>
        </w:rPr>
      </w:pPr>
      <w:r w:rsidRPr="00600AFD">
        <w:rPr>
          <w:rStyle w:val="FootnoteReference"/>
          <w:rFonts w:ascii="Times New Roman" w:hAnsi="Times New Roman" w:cs="Times New Roman"/>
        </w:rPr>
        <w:footnoteRef/>
      </w:r>
      <w:r w:rsidRPr="00600AFD">
        <w:rPr>
          <w:rFonts w:ascii="Times New Roman" w:hAnsi="Times New Roman" w:cs="Times New Roman"/>
        </w:rPr>
        <w:t xml:space="preserve"> National Strategy for War Crimes Processing, “Official Gazette of the Republic of Serbia”, no. 19/16.</w:t>
      </w:r>
    </w:p>
  </w:footnote>
  <w:footnote w:id="11">
    <w:p w14:paraId="543A3B00" w14:textId="1E2BB0EE" w:rsidR="00600AFD" w:rsidRPr="00600AFD" w:rsidRDefault="00600AFD">
      <w:pPr>
        <w:pStyle w:val="FootnoteText"/>
        <w:rPr>
          <w:rFonts w:ascii="Times New Roman" w:hAnsi="Times New Roman" w:cs="Times New Roman"/>
          <w:lang w:val="sr-Latn-RS"/>
        </w:rPr>
      </w:pPr>
      <w:r w:rsidRPr="00600AFD">
        <w:rPr>
          <w:rStyle w:val="FootnoteReference"/>
          <w:rFonts w:ascii="Times New Roman" w:hAnsi="Times New Roman" w:cs="Times New Roman"/>
        </w:rPr>
        <w:footnoteRef/>
      </w:r>
      <w:r w:rsidRPr="00600AFD">
        <w:rPr>
          <w:rFonts w:ascii="Times New Roman" w:hAnsi="Times New Roman" w:cs="Times New Roman"/>
        </w:rPr>
        <w:t xml:space="preserve"> National Strategy for Information Society in the Republic of Serbia until 2020, “Official Gazette of the RS”, no. 51/10.</w:t>
      </w:r>
    </w:p>
  </w:footnote>
  <w:footnote w:id="12">
    <w:p w14:paraId="475A0249" w14:textId="1ECA717F" w:rsidR="00600AFD" w:rsidRPr="00600AFD" w:rsidRDefault="00600AFD">
      <w:pPr>
        <w:pStyle w:val="FootnoteText"/>
        <w:rPr>
          <w:rFonts w:ascii="Times New Roman" w:hAnsi="Times New Roman" w:cs="Times New Roman"/>
          <w:lang w:val="sr-Latn-RS"/>
        </w:rPr>
      </w:pPr>
      <w:r w:rsidRPr="00600AFD">
        <w:rPr>
          <w:rStyle w:val="FootnoteReference"/>
          <w:rFonts w:ascii="Times New Roman" w:hAnsi="Times New Roman" w:cs="Times New Roman"/>
        </w:rPr>
        <w:footnoteRef/>
      </w:r>
      <w:r w:rsidRPr="00600AFD">
        <w:rPr>
          <w:rFonts w:ascii="Times New Roman" w:hAnsi="Times New Roman" w:cs="Times New Roman"/>
        </w:rPr>
        <w:t xml:space="preserve"> Law on the Planning System of the Republic of Serbia, “Official Gazette of the RS”, no.30/2018.</w:t>
      </w:r>
    </w:p>
  </w:footnote>
  <w:footnote w:id="13">
    <w:p w14:paraId="479F33BE" w14:textId="24F6DE37" w:rsidR="00600AFD" w:rsidRPr="00600AFD" w:rsidRDefault="00600AFD">
      <w:pPr>
        <w:pStyle w:val="FootnoteText"/>
        <w:rPr>
          <w:rFonts w:ascii="Times New Roman" w:hAnsi="Times New Roman" w:cs="Times New Roman"/>
          <w:lang w:val="sr-Latn-RS"/>
        </w:rPr>
      </w:pPr>
      <w:r w:rsidRPr="00600AFD">
        <w:rPr>
          <w:rStyle w:val="FootnoteReference"/>
          <w:rFonts w:ascii="Times New Roman" w:hAnsi="Times New Roman" w:cs="Times New Roman"/>
        </w:rPr>
        <w:footnoteRef/>
      </w:r>
      <w:r w:rsidRPr="00600AFD">
        <w:rPr>
          <w:rFonts w:ascii="Times New Roman" w:hAnsi="Times New Roman" w:cs="Times New Roman"/>
        </w:rPr>
        <w:t xml:space="preserve"> Although an essential and inseparable element of the judiciary, advocacy is not specifically foreseen under the measures of this Strategy, since the activities for its development are included in the negotiation process, Chapter 3 Services and the accompanying action plan, and not by the Chapter 23 Justice and Fundamental Rights, whose the accompanying action plan follows the implementation of this Strategy.</w:t>
      </w:r>
    </w:p>
  </w:footnote>
  <w:footnote w:id="14">
    <w:p w14:paraId="4D0770DF" w14:textId="77777777" w:rsidR="00600AFD" w:rsidRPr="00461FA2" w:rsidRDefault="00600AFD" w:rsidP="00916942">
      <w:pPr>
        <w:pStyle w:val="FootnoteText"/>
      </w:pPr>
      <w:r w:rsidRPr="00600AFD">
        <w:rPr>
          <w:rStyle w:val="FootnoteReference"/>
          <w:rFonts w:ascii="Times New Roman" w:hAnsi="Times New Roman" w:cs="Times New Roman"/>
        </w:rPr>
        <w:footnoteRef/>
      </w:r>
      <w:r w:rsidRPr="00600AFD">
        <w:rPr>
          <w:rFonts w:ascii="Times New Roman" w:hAnsi="Times New Roman" w:cs="Times New Roman"/>
        </w:rPr>
        <w:t xml:space="preserve"> Analysis of 2013-2018 National Judicial Reform Strategy Implementation, USAID ROL, Belgrade, 2018.</w:t>
      </w:r>
    </w:p>
  </w:footnote>
  <w:footnote w:id="15">
    <w:p w14:paraId="473900BC" w14:textId="77777777" w:rsidR="00600AFD" w:rsidRPr="00855EB9" w:rsidRDefault="00600AFD" w:rsidP="00FA0D74">
      <w:pPr>
        <w:spacing w:after="0"/>
        <w:rPr>
          <w:sz w:val="20"/>
          <w:szCs w:val="24"/>
        </w:rPr>
      </w:pPr>
      <w:r w:rsidRPr="00916942">
        <w:rPr>
          <w:rStyle w:val="FootnoteReference"/>
          <w:sz w:val="20"/>
        </w:rPr>
        <w:footnoteRef/>
      </w:r>
      <w:r w:rsidRPr="00916942">
        <w:rPr>
          <w:sz w:val="20"/>
        </w:rPr>
        <w:t xml:space="preserve"> </w:t>
      </w:r>
      <w:r w:rsidRPr="00BA22C1">
        <w:rPr>
          <w:sz w:val="20"/>
          <w:szCs w:val="24"/>
        </w:rPr>
        <w:t xml:space="preserve">European Commission for Democracy through Law </w:t>
      </w:r>
      <w:r w:rsidRPr="00AE79E4">
        <w:rPr>
          <w:sz w:val="20"/>
          <w:szCs w:val="24"/>
        </w:rPr>
        <w:t xml:space="preserve">(Venice Commission), CDL-AD </w:t>
      </w:r>
      <w:r w:rsidRPr="00855EB9">
        <w:rPr>
          <w:sz w:val="20"/>
          <w:szCs w:val="24"/>
        </w:rPr>
        <w:t>(2010)004-e, Report on European Standards as Regards the Independence of the Judicial System: Part I- The Independence of Judges, Adopted by the Venice Commission at its 82th plenary session (Venice, 12-13 March 2010), para. 6.</w:t>
      </w:r>
    </w:p>
  </w:footnote>
  <w:footnote w:id="16">
    <w:p w14:paraId="70DE0A2E" w14:textId="77777777" w:rsidR="00600AFD" w:rsidRPr="00855EB9" w:rsidRDefault="00600AFD" w:rsidP="00525624">
      <w:pPr>
        <w:spacing w:after="0"/>
        <w:rPr>
          <w:sz w:val="20"/>
          <w:szCs w:val="24"/>
        </w:rPr>
      </w:pPr>
      <w:r w:rsidRPr="00916942">
        <w:rPr>
          <w:rStyle w:val="FootnoteReference"/>
          <w:sz w:val="20"/>
        </w:rPr>
        <w:footnoteRef/>
      </w:r>
      <w:r w:rsidRPr="00916942">
        <w:rPr>
          <w:sz w:val="20"/>
        </w:rPr>
        <w:t xml:space="preserve"> Recommendation CM/Rec</w:t>
      </w:r>
      <w:r w:rsidRPr="00BA22C1">
        <w:rPr>
          <w:sz w:val="20"/>
        </w:rPr>
        <w:t xml:space="preserve"> </w:t>
      </w:r>
      <w:r w:rsidRPr="00AE79E4">
        <w:rPr>
          <w:sz w:val="20"/>
        </w:rPr>
        <w:t>(2010)12 of the Committee of Ministers to member states on judges: independence, e</w:t>
      </w:r>
      <w:r w:rsidRPr="00855EB9">
        <w:rPr>
          <w:sz w:val="20"/>
        </w:rPr>
        <w:t>fficiency and responsibilities (Adopted by the Committee of Ministers on 17 November 2010 at the 1098th meeting of the Ministers' Deputies).</w:t>
      </w:r>
    </w:p>
  </w:footnote>
  <w:footnote w:id="17">
    <w:p w14:paraId="11397768" w14:textId="77777777" w:rsidR="00600AFD" w:rsidRPr="00855EB9" w:rsidRDefault="00600AFD" w:rsidP="00FF0F1C">
      <w:pPr>
        <w:pStyle w:val="FootnoteText"/>
      </w:pPr>
      <w:r w:rsidRPr="00916942">
        <w:rPr>
          <w:rStyle w:val="FootnoteReference"/>
        </w:rPr>
        <w:footnoteRef/>
      </w:r>
      <w:r w:rsidRPr="00916942">
        <w:t xml:space="preserve"> </w:t>
      </w:r>
      <w:r w:rsidRPr="00BA22C1">
        <w:rPr>
          <w:rFonts w:cs="Arial"/>
          <w:color w:val="222222"/>
        </w:rPr>
        <w:t>The </w:t>
      </w:r>
      <w:r w:rsidRPr="00AE79E4">
        <w:rPr>
          <w:rFonts w:cs="Arial"/>
          <w:bCs/>
          <w:color w:val="222222"/>
        </w:rPr>
        <w:t>International Covenant on Civil and Political Rights</w:t>
      </w:r>
      <w:r w:rsidRPr="00855EB9">
        <w:rPr>
          <w:rFonts w:cs="Arial"/>
          <w:color w:val="222222"/>
        </w:rPr>
        <w:t> (</w:t>
      </w:r>
      <w:r w:rsidRPr="00855EB9">
        <w:rPr>
          <w:rFonts w:cs="Arial"/>
          <w:bCs/>
          <w:color w:val="222222"/>
        </w:rPr>
        <w:t>ICCPR</w:t>
      </w:r>
      <w:r w:rsidRPr="00855EB9">
        <w:rPr>
          <w:rFonts w:cs="Arial"/>
          <w:color w:val="222222"/>
        </w:rPr>
        <w:t>) adopted by the United Nation Assembly through GA. Resolution 2200A (XXI) on 16 December 1966, and in force from 23 March 1976</w:t>
      </w:r>
      <w:r w:rsidRPr="00855EB9">
        <w:t>.</w:t>
      </w:r>
    </w:p>
  </w:footnote>
  <w:footnote w:id="18">
    <w:p w14:paraId="64A68B73" w14:textId="77777777" w:rsidR="00600AFD" w:rsidRPr="00BA22C1" w:rsidRDefault="00600AFD">
      <w:pPr>
        <w:pStyle w:val="FootnoteText"/>
      </w:pPr>
      <w:r w:rsidRPr="00916942">
        <w:rPr>
          <w:rStyle w:val="FootnoteReference"/>
        </w:rPr>
        <w:footnoteRef/>
      </w:r>
      <w:r w:rsidRPr="00916942">
        <w:t xml:space="preserve"> Charter of Fundamental Rights of the European Union (2000/C 364/01)</w:t>
      </w:r>
    </w:p>
  </w:footnote>
  <w:footnote w:id="19">
    <w:p w14:paraId="1DDCD433" w14:textId="55834F8A" w:rsidR="00600AFD" w:rsidRPr="003B335A" w:rsidRDefault="00600AFD" w:rsidP="007B117D">
      <w:pPr>
        <w:spacing w:after="0"/>
        <w:ind w:right="240"/>
        <w:rPr>
          <w:rFonts w:ascii="Times New Roman" w:hAnsi="Times New Roman" w:cs="Times New Roman"/>
          <w:sz w:val="20"/>
          <w:szCs w:val="20"/>
        </w:rPr>
      </w:pPr>
      <w:r w:rsidRPr="003B335A">
        <w:rPr>
          <w:rStyle w:val="FootnoteReference"/>
          <w:rFonts w:ascii="Times New Roman" w:hAnsi="Times New Roman" w:cs="Times New Roman"/>
          <w:sz w:val="20"/>
          <w:szCs w:val="20"/>
        </w:rPr>
        <w:footnoteRef/>
      </w:r>
      <w:r w:rsidRPr="003B335A">
        <w:rPr>
          <w:rFonts w:ascii="Times New Roman" w:hAnsi="Times New Roman" w:cs="Times New Roman"/>
          <w:sz w:val="20"/>
          <w:szCs w:val="20"/>
        </w:rPr>
        <w:t xml:space="preserve"> European Commission for Democracy through Law (Venice Commission), </w:t>
      </w:r>
      <w:hyperlink r:id="rId3" w:history="1">
        <w:r w:rsidRPr="003B335A">
          <w:rPr>
            <w:rFonts w:ascii="Times New Roman" w:eastAsia="Times New Roman" w:hAnsi="Times New Roman" w:cs="Times New Roman"/>
            <w:color w:val="C35817"/>
            <w:sz w:val="20"/>
            <w:szCs w:val="20"/>
          </w:rPr>
          <w:t>CDL-AD(2010)040</w:t>
        </w:r>
      </w:hyperlink>
      <w:r w:rsidRPr="003B335A">
        <w:rPr>
          <w:rFonts w:ascii="Times New Roman" w:eastAsia="Times New Roman" w:hAnsi="Times New Roman" w:cs="Times New Roman"/>
          <w:color w:val="000000"/>
          <w:sz w:val="20"/>
          <w:szCs w:val="20"/>
        </w:rPr>
        <w:t xml:space="preserve"> Independence of the judicial system – Part II (the prosecution service)</w:t>
      </w:r>
      <w:r w:rsidRPr="003B335A">
        <w:rPr>
          <w:rFonts w:ascii="Times New Roman" w:hAnsi="Times New Roman" w:cs="Times New Roman"/>
          <w:sz w:val="20"/>
          <w:szCs w:val="20"/>
        </w:rPr>
        <w:t xml:space="preserve"> adopted by the Venice Commission at its 85th plenary session (Venice, 17-18 December 2010), paras. 29-33.</w:t>
      </w:r>
      <w:r w:rsidRPr="003B335A">
        <w:rPr>
          <w:rFonts w:ascii="Times New Roman" w:eastAsia="Times New Roman" w:hAnsi="Times New Roman" w:cs="Times New Roman"/>
          <w:color w:val="000000"/>
          <w:sz w:val="20"/>
          <w:szCs w:val="20"/>
        </w:rPr>
        <w:t xml:space="preserve">  </w:t>
      </w:r>
      <w:r w:rsidRPr="003B335A">
        <w:rPr>
          <w:rFonts w:ascii="Times New Roman" w:eastAsia="Times New Roman" w:hAnsi="Times New Roman" w:cs="Times New Roman"/>
          <w:color w:val="444444"/>
          <w:sz w:val="20"/>
          <w:szCs w:val="20"/>
        </w:rPr>
        <w:t xml:space="preserve"> </w:t>
      </w:r>
    </w:p>
  </w:footnote>
  <w:footnote w:id="20">
    <w:p w14:paraId="3BC5745B" w14:textId="77777777" w:rsidR="00600AFD" w:rsidRPr="003B335A" w:rsidRDefault="00600AFD" w:rsidP="00560E26">
      <w:pPr>
        <w:pStyle w:val="FootnoteText"/>
        <w:rPr>
          <w:rFonts w:ascii="Times New Roman" w:hAnsi="Times New Roman" w:cs="Times New Roman"/>
        </w:rPr>
      </w:pPr>
      <w:r w:rsidRPr="003B335A">
        <w:rPr>
          <w:rStyle w:val="FootnoteReference"/>
          <w:rFonts w:ascii="Times New Roman" w:hAnsi="Times New Roman" w:cs="Times New Roman"/>
        </w:rPr>
        <w:footnoteRef/>
      </w:r>
      <w:r w:rsidRPr="003B335A">
        <w:rPr>
          <w:rFonts w:ascii="Times New Roman" w:hAnsi="Times New Roman" w:cs="Times New Roman"/>
        </w:rPr>
        <w:t xml:space="preserve"> European Commission for Democracy through Law (Venice Commission), </w:t>
      </w:r>
      <w:hyperlink r:id="rId4" w:history="1">
        <w:r w:rsidRPr="003B335A">
          <w:rPr>
            <w:rFonts w:ascii="Times New Roman" w:eastAsia="Times New Roman" w:hAnsi="Times New Roman" w:cs="Times New Roman"/>
            <w:color w:val="C35817"/>
          </w:rPr>
          <w:t>CDL-AD(2010)040</w:t>
        </w:r>
      </w:hyperlink>
      <w:r w:rsidRPr="003B335A">
        <w:rPr>
          <w:rFonts w:ascii="Times New Roman" w:eastAsia="Times New Roman" w:hAnsi="Times New Roman" w:cs="Times New Roman"/>
          <w:color w:val="000000"/>
        </w:rPr>
        <w:t xml:space="preserve"> Independence of the judicial system – Part II (the prosecution service)</w:t>
      </w:r>
      <w:r w:rsidRPr="003B335A">
        <w:rPr>
          <w:rFonts w:ascii="Times New Roman" w:hAnsi="Times New Roman" w:cs="Times New Roman"/>
        </w:rPr>
        <w:t xml:space="preserve"> adopted by the Venice Commission at its 85th plenary session (Venice, 17-18 December 2010), para. 36,</w:t>
      </w:r>
    </w:p>
  </w:footnote>
  <w:footnote w:id="21">
    <w:p w14:paraId="210D9A02" w14:textId="77777777" w:rsidR="00600AFD" w:rsidRPr="003B335A" w:rsidRDefault="00600AFD" w:rsidP="00560E26">
      <w:pPr>
        <w:pStyle w:val="FootnoteText"/>
        <w:rPr>
          <w:rFonts w:ascii="Times New Roman" w:hAnsi="Times New Roman" w:cs="Times New Roman"/>
        </w:rPr>
      </w:pPr>
      <w:r w:rsidRPr="003B335A">
        <w:rPr>
          <w:rStyle w:val="FootnoteReference"/>
          <w:rFonts w:ascii="Times New Roman" w:hAnsi="Times New Roman" w:cs="Times New Roman"/>
        </w:rPr>
        <w:footnoteRef/>
      </w:r>
      <w:r w:rsidRPr="003B335A">
        <w:rPr>
          <w:rFonts w:ascii="Times New Roman" w:hAnsi="Times New Roman" w:cs="Times New Roman"/>
        </w:rPr>
        <w:t xml:space="preserve"> Ibidem.</w:t>
      </w:r>
    </w:p>
  </w:footnote>
  <w:footnote w:id="22">
    <w:p w14:paraId="419DA185" w14:textId="5C7ECDA9" w:rsidR="00600AFD" w:rsidRPr="000541C2" w:rsidRDefault="00600AFD" w:rsidP="0087783D">
      <w:pPr>
        <w:spacing w:after="0"/>
        <w:rPr>
          <w:rFonts w:ascii="Times New Roman" w:hAnsi="Times New Roman" w:cs="Times New Roman"/>
          <w:sz w:val="20"/>
          <w:szCs w:val="20"/>
        </w:rPr>
      </w:pPr>
      <w:r w:rsidRPr="000541C2">
        <w:rPr>
          <w:rStyle w:val="FootnoteReference"/>
          <w:rFonts w:ascii="Times New Roman" w:hAnsi="Times New Roman" w:cs="Times New Roman"/>
          <w:sz w:val="20"/>
          <w:szCs w:val="20"/>
        </w:rPr>
        <w:footnoteRef/>
      </w:r>
      <w:r w:rsidRPr="000541C2">
        <w:rPr>
          <w:rFonts w:ascii="Times New Roman" w:hAnsi="Times New Roman" w:cs="Times New Roman"/>
          <w:i/>
          <w:sz w:val="20"/>
          <w:szCs w:val="20"/>
        </w:rPr>
        <w:t xml:space="preserve"> </w:t>
      </w:r>
      <w:proofErr w:type="gramStart"/>
      <w:r w:rsidR="000541C2" w:rsidRPr="000541C2">
        <w:rPr>
          <w:rFonts w:ascii="Times New Roman" w:hAnsi="Times New Roman" w:cs="Times New Roman"/>
          <w:iCs/>
          <w:sz w:val="20"/>
          <w:szCs w:val="20"/>
        </w:rPr>
        <w:t>Basic Principles on the Independence of the Judiciary</w:t>
      </w:r>
      <w:r w:rsidR="000541C2">
        <w:rPr>
          <w:rFonts w:ascii="Times New Roman" w:hAnsi="Times New Roman" w:cs="Times New Roman"/>
          <w:sz w:val="20"/>
          <w:szCs w:val="20"/>
        </w:rPr>
        <w:t>,</w:t>
      </w:r>
      <w:proofErr w:type="gramEnd"/>
      <w:r w:rsidRPr="000541C2">
        <w:rPr>
          <w:rFonts w:ascii="Times New Roman" w:hAnsi="Times New Roman" w:cs="Times New Roman"/>
          <w:sz w:val="20"/>
          <w:szCs w:val="20"/>
        </w:rPr>
        <w:t xml:space="preserve"> </w:t>
      </w:r>
      <w:r w:rsidRPr="000541C2">
        <w:rPr>
          <w:rFonts w:ascii="Times New Roman" w:hAnsi="Times New Roman" w:cs="Times New Roman"/>
          <w:bCs/>
          <w:color w:val="262626"/>
          <w:sz w:val="20"/>
          <w:szCs w:val="20"/>
        </w:rPr>
        <w:t>adopted by the Seventh United Nations Congress on the Prevention of Crime and the Treatment of Offenders held at Milan from 26 August to 6 September 1985 and endorsed by General Assembly resolutions 40/32 of 29 November 1985 and 40/146 of 13 December 1985.</w:t>
      </w:r>
    </w:p>
  </w:footnote>
  <w:footnote w:id="23">
    <w:p w14:paraId="574A3D70" w14:textId="298F4DA1" w:rsidR="00600AFD" w:rsidRPr="000541C2" w:rsidRDefault="00600AFD" w:rsidP="0087783D">
      <w:pPr>
        <w:pStyle w:val="footnotetextCharCharChar11"/>
        <w:rPr>
          <w:rFonts w:ascii="Times New Roman" w:hAnsi="Times New Roman" w:cs="Times New Roman"/>
        </w:rPr>
      </w:pPr>
      <w:r w:rsidRPr="000541C2">
        <w:rPr>
          <w:rStyle w:val="FootnoteReference"/>
          <w:rFonts w:ascii="Times New Roman" w:hAnsi="Times New Roman" w:cs="Times New Roman"/>
        </w:rPr>
        <w:footnoteRef/>
      </w:r>
      <w:r w:rsidRPr="000541C2">
        <w:rPr>
          <w:rFonts w:ascii="Times New Roman" w:hAnsi="Times New Roman" w:cs="Times New Roman"/>
        </w:rPr>
        <w:t xml:space="preserve"> Law on the Protection of Whistleblowers, “Official Gazette of the Republic of Serbia”, no. 128/2014</w:t>
      </w:r>
    </w:p>
  </w:footnote>
  <w:footnote w:id="24">
    <w:p w14:paraId="5623CE86" w14:textId="77777777" w:rsidR="00600AFD" w:rsidRPr="000541C2" w:rsidRDefault="00600AFD" w:rsidP="000541C2">
      <w:pPr>
        <w:spacing w:after="0"/>
        <w:rPr>
          <w:rFonts w:ascii="Times New Roman" w:hAnsi="Times New Roman" w:cs="Times New Roman"/>
          <w:sz w:val="18"/>
          <w:szCs w:val="18"/>
          <w:highlight w:val="yellow"/>
        </w:rPr>
      </w:pPr>
      <w:r w:rsidRPr="000541C2">
        <w:rPr>
          <w:rStyle w:val="FootnoteReference"/>
          <w:rFonts w:ascii="Times New Roman" w:hAnsi="Times New Roman" w:cs="Times New Roman"/>
          <w:sz w:val="18"/>
          <w:szCs w:val="18"/>
        </w:rPr>
        <w:footnoteRef/>
      </w:r>
      <w:r w:rsidRPr="000541C2">
        <w:rPr>
          <w:rFonts w:ascii="Times New Roman" w:hAnsi="Times New Roman" w:cs="Times New Roman"/>
          <w:sz w:val="18"/>
          <w:szCs w:val="18"/>
        </w:rPr>
        <w:t xml:space="preserve"> Unlike the above mentioned sources of European standards in this area, Recommendation Rec 2000/19 contains precise provisions according to which public prosecutors should be especially acquainted with the principles and ethical obligations arising from their office; constitutional and legal protection of suspects, victims and witnesses; human rights and freedoms prescribed by the Convention for the Protection of Human Rights and Fundamental Freedoms, in particular the rights set forth in Articles 5 and 6 of this Convention; principles and practice of organization of work, management and personnel issues in the context of the judiciary; as well as mechanisms and materials that contribute to the consistency of their work. In addition, States should take effective measures to provide training on specific issues, or by specific sectors, in the light of current conditions, </w:t>
      </w:r>
      <w:proofErr w:type="gramStart"/>
      <w:r w:rsidRPr="000541C2">
        <w:rPr>
          <w:rFonts w:ascii="Times New Roman" w:hAnsi="Times New Roman" w:cs="Times New Roman"/>
          <w:sz w:val="18"/>
          <w:szCs w:val="18"/>
        </w:rPr>
        <w:t>taking into account</w:t>
      </w:r>
      <w:proofErr w:type="gramEnd"/>
      <w:r w:rsidRPr="000541C2">
        <w:rPr>
          <w:rFonts w:ascii="Times New Roman" w:hAnsi="Times New Roman" w:cs="Times New Roman"/>
          <w:sz w:val="18"/>
          <w:szCs w:val="18"/>
        </w:rPr>
        <w:t xml:space="preserve"> certain types and development of crime as well as international criminal justice cooperation.</w:t>
      </w:r>
    </w:p>
  </w:footnote>
  <w:footnote w:id="25">
    <w:p w14:paraId="36B6C68B" w14:textId="77777777" w:rsidR="00600AFD" w:rsidRPr="000541C2" w:rsidRDefault="00600AFD" w:rsidP="000541C2">
      <w:pPr>
        <w:spacing w:after="0"/>
        <w:rPr>
          <w:sz w:val="18"/>
          <w:szCs w:val="18"/>
        </w:rPr>
      </w:pPr>
      <w:r w:rsidRPr="000541C2">
        <w:rPr>
          <w:rStyle w:val="FootnoteReference"/>
          <w:rFonts w:ascii="Times New Roman" w:hAnsi="Times New Roman" w:cs="Times New Roman"/>
          <w:sz w:val="18"/>
          <w:szCs w:val="18"/>
        </w:rPr>
        <w:footnoteRef/>
      </w:r>
      <w:r w:rsidRPr="000541C2">
        <w:rPr>
          <w:rFonts w:ascii="Times New Roman" w:hAnsi="Times New Roman" w:cs="Times New Roman"/>
          <w:sz w:val="18"/>
          <w:szCs w:val="18"/>
        </w:rPr>
        <w:t xml:space="preserve"> “Independence of the judiciary grants rights to judges of all levels and all jurisdictions, but it also establishes certain duties. These include the duty of judges to perform their work professionally and diligently, which requires that they have high professional capacity that is acquired, maintained and strengthened through training, which happens to be both their obligation and the right they are allowed to exercise.” The Consultative Council of European Judges further states that “credible and independent judiciary, as the guarantor of legal and physical security of people and property, can be led only by competent, responsible and well-trained judges and prosecutors.” This is </w:t>
      </w:r>
      <w:proofErr w:type="gramStart"/>
      <w:r w:rsidRPr="000541C2">
        <w:rPr>
          <w:rFonts w:ascii="Times New Roman" w:hAnsi="Times New Roman" w:cs="Times New Roman"/>
          <w:sz w:val="18"/>
          <w:szCs w:val="18"/>
        </w:rPr>
        <w:t>all the more</w:t>
      </w:r>
      <w:proofErr w:type="gramEnd"/>
      <w:r w:rsidRPr="000541C2">
        <w:rPr>
          <w:rFonts w:ascii="Times New Roman" w:hAnsi="Times New Roman" w:cs="Times New Roman"/>
          <w:sz w:val="18"/>
          <w:szCs w:val="18"/>
        </w:rPr>
        <w:t xml:space="preserve"> important because the public in all the countries continually expresses often legitimate concerns and has high expectations when it comes to judicial systems, which are usually considered too slow, expensive and difficult to access. The response to these expectations is particularly significant and necessary, as they are grounded in the European Convention on Human Rights - such as the right to access a court (tribunal), the right to public proceedings that will be carried out within a reasonable time, and the right to a fair trial (Article 6).”</w:t>
      </w:r>
    </w:p>
  </w:footnote>
  <w:footnote w:id="26">
    <w:p w14:paraId="1CEB9080" w14:textId="77777777" w:rsidR="00600AFD" w:rsidRPr="00D82920" w:rsidRDefault="00600AFD" w:rsidP="0087783D">
      <w:pPr>
        <w:pStyle w:val="FootnoteText"/>
        <w:rPr>
          <w:rFonts w:ascii="Times New Roman" w:hAnsi="Times New Roman" w:cs="Times New Roman"/>
        </w:rPr>
      </w:pPr>
      <w:r w:rsidRPr="00D82920">
        <w:rPr>
          <w:rStyle w:val="FootnoteReference"/>
          <w:rFonts w:ascii="Times New Roman" w:hAnsi="Times New Roman" w:cs="Times New Roman"/>
        </w:rPr>
        <w:footnoteRef/>
      </w:r>
      <w:r w:rsidRPr="00D82920">
        <w:rPr>
          <w:rFonts w:ascii="Times New Roman" w:hAnsi="Times New Roman" w:cs="Times New Roman"/>
        </w:rPr>
        <w:t xml:space="preserve"> </w:t>
      </w:r>
      <w:proofErr w:type="spellStart"/>
      <w:r w:rsidRPr="00D82920">
        <w:rPr>
          <w:rFonts w:ascii="Times New Roman" w:hAnsi="Times New Roman" w:cs="Times New Roman"/>
          <w:i/>
          <w:iCs/>
        </w:rPr>
        <w:t>Tsilira</w:t>
      </w:r>
      <w:proofErr w:type="spellEnd"/>
      <w:r w:rsidRPr="00D82920">
        <w:rPr>
          <w:rFonts w:ascii="Times New Roman" w:hAnsi="Times New Roman" w:cs="Times New Roman"/>
          <w:i/>
          <w:iCs/>
        </w:rPr>
        <w:t xml:space="preserve"> v. Greece</w:t>
      </w:r>
      <w:r w:rsidRPr="00D82920">
        <w:rPr>
          <w:rFonts w:ascii="Times New Roman" w:hAnsi="Times New Roman" w:cs="Times New Roman"/>
        </w:rPr>
        <w:t>, no. 44035/05, judgment from 22 May 2008</w:t>
      </w:r>
    </w:p>
  </w:footnote>
  <w:footnote w:id="27">
    <w:p w14:paraId="1413355A" w14:textId="77777777" w:rsidR="00600AFD" w:rsidRPr="00D82920" w:rsidRDefault="00600AFD" w:rsidP="0087783D">
      <w:pPr>
        <w:pStyle w:val="footnotetextCharCharChar11"/>
        <w:rPr>
          <w:rFonts w:ascii="Times New Roman" w:hAnsi="Times New Roman" w:cs="Times New Roman"/>
          <w:highlight w:val="yellow"/>
        </w:rPr>
      </w:pPr>
      <w:r w:rsidRPr="00D82920">
        <w:rPr>
          <w:rStyle w:val="FootnoteReference"/>
          <w:rFonts w:ascii="Times New Roman" w:hAnsi="Times New Roman" w:cs="Times New Roman"/>
        </w:rPr>
        <w:footnoteRef/>
      </w:r>
      <w:r w:rsidRPr="00D82920">
        <w:rPr>
          <w:rFonts w:ascii="Times New Roman" w:hAnsi="Times New Roman" w:cs="Times New Roman"/>
        </w:rPr>
        <w:t xml:space="preserve"> </w:t>
      </w:r>
      <w:proofErr w:type="spellStart"/>
      <w:r w:rsidRPr="00D82920">
        <w:rPr>
          <w:rFonts w:ascii="Times New Roman" w:hAnsi="Times New Roman" w:cs="Times New Roman"/>
        </w:rPr>
        <w:t>Calvez</w:t>
      </w:r>
      <w:proofErr w:type="spellEnd"/>
      <w:r w:rsidRPr="00D82920">
        <w:rPr>
          <w:rFonts w:ascii="Times New Roman" w:hAnsi="Times New Roman" w:cs="Times New Roman"/>
        </w:rPr>
        <w:t xml:space="preserve"> F. &amp; </w:t>
      </w:r>
      <w:proofErr w:type="spellStart"/>
      <w:r w:rsidRPr="00D82920">
        <w:rPr>
          <w:rFonts w:ascii="Times New Roman" w:hAnsi="Times New Roman" w:cs="Times New Roman"/>
        </w:rPr>
        <w:t>Régis</w:t>
      </w:r>
      <w:proofErr w:type="spellEnd"/>
      <w:r w:rsidRPr="00D82920">
        <w:rPr>
          <w:rFonts w:ascii="Times New Roman" w:hAnsi="Times New Roman" w:cs="Times New Roman"/>
        </w:rPr>
        <w:t xml:space="preserve">, N. (2012) </w:t>
      </w:r>
      <w:r w:rsidRPr="00D82920">
        <w:rPr>
          <w:rFonts w:ascii="Times New Roman" w:hAnsi="Times New Roman" w:cs="Times New Roman"/>
          <w:i/>
          <w:iCs/>
        </w:rPr>
        <w:t xml:space="preserve">Length of court proceedings in the member states of the Council of Europe based on the case law of the European Court of Human Rights, 2nd Edition, </w:t>
      </w:r>
      <w:r w:rsidRPr="00D82920">
        <w:rPr>
          <w:rFonts w:ascii="Times New Roman" w:hAnsi="Times New Roman" w:cs="Times New Roman"/>
          <w:iCs/>
        </w:rPr>
        <w:t>European</w:t>
      </w:r>
      <w:r w:rsidRPr="00D82920">
        <w:rPr>
          <w:rFonts w:ascii="Times New Roman" w:hAnsi="Times New Roman" w:cs="Times New Roman"/>
        </w:rPr>
        <w:t xml:space="preserve"> Commission for the Efficiency of Justice (</w:t>
      </w:r>
      <w:r w:rsidRPr="00D82920">
        <w:rPr>
          <w:rFonts w:ascii="Times New Roman" w:hAnsi="Times New Roman" w:cs="Times New Roman"/>
          <w:i/>
          <w:iCs/>
        </w:rPr>
        <w:t>CEPEJ</w:t>
      </w:r>
      <w:r w:rsidRPr="00D82920">
        <w:rPr>
          <w:rFonts w:ascii="Times New Roman" w:hAnsi="Times New Roman" w:cs="Times New Roman"/>
        </w:rPr>
        <w:t xml:space="preserve">), Strasbourg, p. 23. Also see the view of the Commission in: </w:t>
      </w:r>
      <w:proofErr w:type="spellStart"/>
      <w:r w:rsidRPr="00D82920">
        <w:rPr>
          <w:rFonts w:ascii="Times New Roman" w:hAnsi="Times New Roman" w:cs="Times New Roman"/>
          <w:i/>
        </w:rPr>
        <w:t>Hentrich</w:t>
      </w:r>
      <w:proofErr w:type="spellEnd"/>
      <w:r w:rsidRPr="00D82920">
        <w:rPr>
          <w:rFonts w:ascii="Times New Roman" w:hAnsi="Times New Roman" w:cs="Times New Roman"/>
          <w:i/>
        </w:rPr>
        <w:t xml:space="preserve"> v. France</w:t>
      </w:r>
      <w:r w:rsidRPr="00D82920">
        <w:rPr>
          <w:rFonts w:ascii="Times New Roman" w:hAnsi="Times New Roman" w:cs="Times New Roman"/>
        </w:rPr>
        <w:t>, no. 13616/88, judgment from 22 September 1994, paragraph 61.</w:t>
      </w:r>
    </w:p>
  </w:footnote>
  <w:footnote w:id="28">
    <w:p w14:paraId="3FF26FAC" w14:textId="77777777" w:rsidR="00600AFD" w:rsidRPr="00D82920" w:rsidRDefault="00600AFD" w:rsidP="0087783D">
      <w:pPr>
        <w:pStyle w:val="footnotetextCharCharChar11"/>
        <w:rPr>
          <w:rFonts w:ascii="Times New Roman" w:hAnsi="Times New Roman" w:cs="Times New Roman"/>
        </w:rPr>
      </w:pPr>
      <w:r w:rsidRPr="00D82920">
        <w:rPr>
          <w:rStyle w:val="FootnoteReference"/>
          <w:rFonts w:ascii="Times New Roman" w:hAnsi="Times New Roman" w:cs="Times New Roman"/>
        </w:rPr>
        <w:footnoteRef/>
      </w:r>
      <w:r w:rsidRPr="00D82920">
        <w:rPr>
          <w:rFonts w:ascii="Times New Roman" w:hAnsi="Times New Roman" w:cs="Times New Roman"/>
          <w:i/>
        </w:rPr>
        <w:t xml:space="preserve"> </w:t>
      </w:r>
      <w:proofErr w:type="spellStart"/>
      <w:r w:rsidRPr="00D82920">
        <w:rPr>
          <w:rFonts w:ascii="Times New Roman" w:hAnsi="Times New Roman" w:cs="Times New Roman"/>
          <w:i/>
        </w:rPr>
        <w:t>Probstmeiner</w:t>
      </w:r>
      <w:proofErr w:type="spellEnd"/>
      <w:r w:rsidRPr="00D82920">
        <w:rPr>
          <w:rFonts w:ascii="Times New Roman" w:hAnsi="Times New Roman" w:cs="Times New Roman"/>
          <w:i/>
        </w:rPr>
        <w:t xml:space="preserve"> v. Germany</w:t>
      </w:r>
      <w:r w:rsidRPr="00D82920">
        <w:rPr>
          <w:rFonts w:ascii="Times New Roman" w:hAnsi="Times New Roman" w:cs="Times New Roman"/>
        </w:rPr>
        <w:t>, no. 20950/92, judgment from 1 July 1997, paragraph 64.</w:t>
      </w:r>
    </w:p>
  </w:footnote>
  <w:footnote w:id="29">
    <w:p w14:paraId="52B2F93E" w14:textId="77777777" w:rsidR="00600AFD" w:rsidRPr="00D82920" w:rsidRDefault="00600AFD" w:rsidP="0087783D">
      <w:pPr>
        <w:pStyle w:val="footnotetextCharCharChar11"/>
        <w:rPr>
          <w:rFonts w:ascii="Times New Roman" w:hAnsi="Times New Roman" w:cs="Times New Roman"/>
        </w:rPr>
      </w:pPr>
      <w:r w:rsidRPr="00D82920">
        <w:rPr>
          <w:rStyle w:val="FootnoteReference"/>
          <w:rFonts w:ascii="Times New Roman" w:hAnsi="Times New Roman" w:cs="Times New Roman"/>
        </w:rPr>
        <w:footnoteRef/>
      </w:r>
      <w:r w:rsidRPr="00D82920">
        <w:rPr>
          <w:rFonts w:ascii="Times New Roman" w:hAnsi="Times New Roman" w:cs="Times New Roman"/>
          <w:i/>
        </w:rPr>
        <w:t xml:space="preserve"> </w:t>
      </w:r>
      <w:proofErr w:type="spellStart"/>
      <w:r w:rsidRPr="00D82920">
        <w:rPr>
          <w:rFonts w:ascii="Times New Roman" w:hAnsi="Times New Roman" w:cs="Times New Roman"/>
          <w:i/>
        </w:rPr>
        <w:t>Botazzi</w:t>
      </w:r>
      <w:proofErr w:type="spellEnd"/>
      <w:r w:rsidRPr="00D82920">
        <w:rPr>
          <w:rFonts w:ascii="Times New Roman" w:hAnsi="Times New Roman" w:cs="Times New Roman"/>
          <w:i/>
        </w:rPr>
        <w:t xml:space="preserve"> v. Italy</w:t>
      </w:r>
      <w:r w:rsidRPr="00D82920">
        <w:rPr>
          <w:rFonts w:ascii="Times New Roman" w:hAnsi="Times New Roman" w:cs="Times New Roman"/>
        </w:rPr>
        <w:t xml:space="preserve">, no. 34884/97, judgment from 28 July 1999. </w:t>
      </w:r>
    </w:p>
  </w:footnote>
  <w:footnote w:id="30">
    <w:p w14:paraId="37109E9C" w14:textId="77777777" w:rsidR="00600AFD" w:rsidRPr="00D82920" w:rsidRDefault="00600AFD" w:rsidP="0087783D">
      <w:pPr>
        <w:pStyle w:val="footnotetextCharCharChar11"/>
        <w:rPr>
          <w:rFonts w:ascii="Times New Roman" w:hAnsi="Times New Roman" w:cs="Times New Roman"/>
        </w:rPr>
      </w:pPr>
      <w:r w:rsidRPr="00D82920">
        <w:rPr>
          <w:rStyle w:val="FootnoteReference"/>
          <w:rFonts w:ascii="Times New Roman" w:hAnsi="Times New Roman" w:cs="Times New Roman"/>
        </w:rPr>
        <w:footnoteRef/>
      </w:r>
      <w:r w:rsidRPr="00D82920">
        <w:rPr>
          <w:rFonts w:ascii="Times New Roman" w:hAnsi="Times New Roman" w:cs="Times New Roman"/>
          <w:i/>
        </w:rPr>
        <w:t xml:space="preserve"> Zimmermann and Steiner v. Switzerland</w:t>
      </w:r>
      <w:r w:rsidRPr="00D82920">
        <w:rPr>
          <w:rFonts w:ascii="Times New Roman" w:hAnsi="Times New Roman" w:cs="Times New Roman"/>
        </w:rPr>
        <w:t xml:space="preserve">, </w:t>
      </w:r>
      <w:r w:rsidRPr="00D82920">
        <w:rPr>
          <w:rFonts w:ascii="Times New Roman" w:hAnsi="Times New Roman" w:cs="Times New Roman"/>
          <w:shd w:val="clear" w:color="auto" w:fill="FFFFFF"/>
        </w:rPr>
        <w:t>no.</w:t>
      </w:r>
      <w:r w:rsidRPr="00D82920">
        <w:rPr>
          <w:rFonts w:ascii="Times New Roman" w:hAnsi="Times New Roman" w:cs="Times New Roman"/>
        </w:rPr>
        <w:t xml:space="preserve"> 8737/79, judgment from 13 July 1983. </w:t>
      </w:r>
    </w:p>
  </w:footnote>
  <w:footnote w:id="31">
    <w:p w14:paraId="13A18D68" w14:textId="77777777" w:rsidR="00600AFD" w:rsidRPr="00D82920" w:rsidRDefault="00600AFD" w:rsidP="0087783D">
      <w:pPr>
        <w:pStyle w:val="footnotetextCharCharChar11"/>
        <w:rPr>
          <w:rFonts w:ascii="Times New Roman" w:hAnsi="Times New Roman" w:cs="Times New Roman"/>
          <w:highlight w:val="yellow"/>
        </w:rPr>
      </w:pPr>
      <w:r w:rsidRPr="00D82920">
        <w:rPr>
          <w:rStyle w:val="FootnoteReference"/>
          <w:rFonts w:ascii="Times New Roman" w:hAnsi="Times New Roman" w:cs="Times New Roman"/>
        </w:rPr>
        <w:footnoteRef/>
      </w:r>
      <w:r w:rsidRPr="00D82920">
        <w:rPr>
          <w:rFonts w:ascii="Times New Roman" w:hAnsi="Times New Roman" w:cs="Times New Roman"/>
        </w:rPr>
        <w:t xml:space="preserve"> Also see: </w:t>
      </w:r>
      <w:proofErr w:type="spellStart"/>
      <w:r w:rsidRPr="00D82920">
        <w:rPr>
          <w:rFonts w:ascii="Times New Roman" w:hAnsi="Times New Roman" w:cs="Times New Roman"/>
        </w:rPr>
        <w:t>Varga</w:t>
      </w:r>
      <w:proofErr w:type="spellEnd"/>
      <w:r w:rsidRPr="00D82920">
        <w:rPr>
          <w:rFonts w:ascii="Times New Roman" w:hAnsi="Times New Roman" w:cs="Times New Roman"/>
        </w:rPr>
        <w:t xml:space="preserve">, I. (2009) </w:t>
      </w:r>
      <w:r w:rsidRPr="00D82920">
        <w:rPr>
          <w:rFonts w:ascii="Times New Roman" w:hAnsi="Times New Roman" w:cs="Times New Roman"/>
          <w:i/>
          <w:iCs/>
        </w:rPr>
        <w:t>Breach of the reasonable time requirement in Hungarian law and in the practice of the European Court of Human Rights</w:t>
      </w:r>
      <w:r w:rsidRPr="00D82920">
        <w:rPr>
          <w:rFonts w:ascii="Times New Roman" w:hAnsi="Times New Roman" w:cs="Times New Roman"/>
        </w:rPr>
        <w:t xml:space="preserve">, in: Michel </w:t>
      </w:r>
      <w:proofErr w:type="spellStart"/>
      <w:r w:rsidRPr="00D82920">
        <w:rPr>
          <w:rFonts w:ascii="Times New Roman" w:hAnsi="Times New Roman" w:cs="Times New Roman"/>
        </w:rPr>
        <w:t>Labori</w:t>
      </w:r>
      <w:proofErr w:type="spellEnd"/>
      <w:r w:rsidRPr="00D82920">
        <w:rPr>
          <w:rFonts w:ascii="Times New Roman" w:hAnsi="Times New Roman" w:cs="Times New Roman"/>
        </w:rPr>
        <w:t xml:space="preserve">, </w:t>
      </w:r>
      <w:proofErr w:type="spellStart"/>
      <w:r w:rsidRPr="00D82920">
        <w:rPr>
          <w:rFonts w:ascii="Times New Roman" w:hAnsi="Times New Roman" w:cs="Times New Roman"/>
        </w:rPr>
        <w:t>Heribert</w:t>
      </w:r>
      <w:proofErr w:type="spellEnd"/>
      <w:r w:rsidRPr="00D82920">
        <w:rPr>
          <w:rFonts w:ascii="Times New Roman" w:hAnsi="Times New Roman" w:cs="Times New Roman"/>
        </w:rPr>
        <w:t xml:space="preserve"> Franz </w:t>
      </w:r>
      <w:proofErr w:type="spellStart"/>
      <w:r w:rsidRPr="00D82920">
        <w:rPr>
          <w:rFonts w:ascii="Times New Roman" w:hAnsi="Times New Roman" w:cs="Times New Roman"/>
        </w:rPr>
        <w:t>Köck</w:t>
      </w:r>
      <w:proofErr w:type="spellEnd"/>
      <w:r w:rsidRPr="00D82920">
        <w:rPr>
          <w:rFonts w:ascii="Times New Roman" w:hAnsi="Times New Roman" w:cs="Times New Roman"/>
        </w:rPr>
        <w:t xml:space="preserve">, J.A.E. </w:t>
      </w:r>
      <w:proofErr w:type="spellStart"/>
      <w:r w:rsidRPr="00D82920">
        <w:rPr>
          <w:rFonts w:ascii="Times New Roman" w:hAnsi="Times New Roman" w:cs="Times New Roman"/>
        </w:rPr>
        <w:t>Vervaele</w:t>
      </w:r>
      <w:proofErr w:type="spellEnd"/>
      <w:r w:rsidRPr="00D82920">
        <w:rPr>
          <w:rFonts w:ascii="Times New Roman" w:hAnsi="Times New Roman" w:cs="Times New Roman"/>
        </w:rPr>
        <w:t xml:space="preserve"> (eds.) Annales Universitatis </w:t>
      </w:r>
      <w:proofErr w:type="spellStart"/>
      <w:r w:rsidRPr="00D82920">
        <w:rPr>
          <w:rFonts w:ascii="Times New Roman" w:hAnsi="Times New Roman" w:cs="Times New Roman"/>
        </w:rPr>
        <w:t>Apulensis</w:t>
      </w:r>
      <w:proofErr w:type="spellEnd"/>
      <w:r w:rsidRPr="00D82920">
        <w:rPr>
          <w:rFonts w:ascii="Times New Roman" w:hAnsi="Times New Roman" w:cs="Times New Roman"/>
        </w:rPr>
        <w:t xml:space="preserve">, Serie </w:t>
      </w:r>
      <w:proofErr w:type="spellStart"/>
      <w:r w:rsidRPr="00D82920">
        <w:rPr>
          <w:rFonts w:ascii="Times New Roman" w:hAnsi="Times New Roman" w:cs="Times New Roman"/>
        </w:rPr>
        <w:t>Jurisprudentia</w:t>
      </w:r>
      <w:proofErr w:type="spellEnd"/>
      <w:r w:rsidRPr="00D82920">
        <w:rPr>
          <w:rFonts w:ascii="Times New Roman" w:hAnsi="Times New Roman" w:cs="Times New Roman"/>
        </w:rPr>
        <w:t xml:space="preserve"> 2009 p. 21.</w:t>
      </w:r>
    </w:p>
  </w:footnote>
  <w:footnote w:id="32">
    <w:p w14:paraId="37BA943E" w14:textId="77777777" w:rsidR="00600AFD" w:rsidRPr="00D82920" w:rsidRDefault="00600AFD" w:rsidP="0087783D">
      <w:pPr>
        <w:pStyle w:val="footnotetextCharCharChar11"/>
        <w:rPr>
          <w:rFonts w:ascii="Times New Roman" w:hAnsi="Times New Roman" w:cs="Times New Roman"/>
        </w:rPr>
      </w:pPr>
      <w:r w:rsidRPr="00D82920">
        <w:rPr>
          <w:rStyle w:val="FootnoteReference"/>
          <w:rFonts w:ascii="Times New Roman" w:hAnsi="Times New Roman" w:cs="Times New Roman"/>
        </w:rPr>
        <w:footnoteRef/>
      </w:r>
      <w:r w:rsidRPr="00D82920">
        <w:rPr>
          <w:rFonts w:ascii="Times New Roman" w:hAnsi="Times New Roman" w:cs="Times New Roman"/>
          <w:i/>
          <w:iCs/>
        </w:rPr>
        <w:t xml:space="preserve"> </w:t>
      </w:r>
      <w:proofErr w:type="spellStart"/>
      <w:r w:rsidRPr="00D82920">
        <w:rPr>
          <w:rFonts w:ascii="Times New Roman" w:hAnsi="Times New Roman" w:cs="Times New Roman"/>
          <w:i/>
          <w:iCs/>
        </w:rPr>
        <w:t>Burdov</w:t>
      </w:r>
      <w:proofErr w:type="spellEnd"/>
      <w:r w:rsidRPr="00D82920">
        <w:rPr>
          <w:rFonts w:ascii="Times New Roman" w:hAnsi="Times New Roman" w:cs="Times New Roman"/>
          <w:i/>
          <w:iCs/>
        </w:rPr>
        <w:t xml:space="preserve"> v. Russia</w:t>
      </w:r>
      <w:r w:rsidRPr="00D82920">
        <w:rPr>
          <w:rFonts w:ascii="Times New Roman" w:hAnsi="Times New Roman" w:cs="Times New Roman"/>
        </w:rPr>
        <w:t xml:space="preserve"> (2), </w:t>
      </w:r>
      <w:r w:rsidRPr="00D82920">
        <w:rPr>
          <w:rFonts w:ascii="Times New Roman" w:hAnsi="Times New Roman" w:cs="Times New Roman"/>
          <w:shd w:val="clear" w:color="auto" w:fill="FFFFFF"/>
        </w:rPr>
        <w:t xml:space="preserve">no. </w:t>
      </w:r>
      <w:r w:rsidRPr="00D82920">
        <w:rPr>
          <w:rFonts w:ascii="Times New Roman" w:hAnsi="Times New Roman" w:cs="Times New Roman"/>
        </w:rPr>
        <w:t xml:space="preserve">33509/04, judgment from 15 January 2009. </w:t>
      </w:r>
    </w:p>
  </w:footnote>
  <w:footnote w:id="33">
    <w:p w14:paraId="0BD5D09D" w14:textId="77777777" w:rsidR="00600AFD" w:rsidRPr="00D82920" w:rsidRDefault="00600AFD" w:rsidP="0087783D">
      <w:pPr>
        <w:pStyle w:val="footnotetextCharCharChar11"/>
        <w:rPr>
          <w:rFonts w:ascii="Times New Roman" w:hAnsi="Times New Roman" w:cs="Times New Roman"/>
        </w:rPr>
      </w:pPr>
      <w:r w:rsidRPr="00D82920">
        <w:rPr>
          <w:rStyle w:val="FootnoteReference"/>
          <w:rFonts w:ascii="Times New Roman" w:hAnsi="Times New Roman" w:cs="Times New Roman"/>
        </w:rPr>
        <w:footnoteRef/>
      </w:r>
      <w:r w:rsidRPr="00D82920">
        <w:rPr>
          <w:rFonts w:ascii="Times New Roman" w:hAnsi="Times New Roman" w:cs="Times New Roman"/>
        </w:rPr>
        <w:t xml:space="preserve"> ‘At the end of 2012, there were 1,729,768 unresolved backlog cases in all the courts of the Republic of Serbia, while at the end of the first half of 2018 there were 804,525, that is, 925,243 fewer cases. Report on the Work of Courts in the Republic of Serbia for the period January - June 2018, the Supreme Court of Cassation.</w:t>
      </w:r>
    </w:p>
  </w:footnote>
  <w:footnote w:id="34">
    <w:p w14:paraId="24B0D275" w14:textId="77777777" w:rsidR="00600AFD" w:rsidRPr="00D82920" w:rsidRDefault="00600AFD" w:rsidP="0087783D">
      <w:pPr>
        <w:pStyle w:val="footnotetextCharCharChar11"/>
        <w:rPr>
          <w:rFonts w:ascii="Times New Roman" w:hAnsi="Times New Roman" w:cs="Times New Roman"/>
        </w:rPr>
      </w:pPr>
      <w:r w:rsidRPr="00D82920">
        <w:rPr>
          <w:rStyle w:val="FootnoteReference"/>
          <w:rFonts w:ascii="Times New Roman" w:hAnsi="Times New Roman" w:cs="Times New Roman"/>
        </w:rPr>
        <w:footnoteRef/>
      </w:r>
      <w:r w:rsidRPr="00D82920">
        <w:rPr>
          <w:rFonts w:ascii="Times New Roman" w:hAnsi="Times New Roman" w:cs="Times New Roman"/>
        </w:rPr>
        <w:t xml:space="preserve"> 'In the period from 1 January 2010 to 20 November 2018, the Administrative Court received a total of 196,980 initial acts. The average monthly inflow of cases per judge is 59.12. An increase of several thousand cases is recorded each year, and in 2016 judges received 5.500 more cases than in 2010. In 2017, the Administrative Court received 21,741 cases, and from 1 January to 20 November 2018 it received a total of 22,669 initial acts, that is, 2,267 cases per month on average.' Source: Administrative Court of the Republic of Serbia</w:t>
      </w:r>
    </w:p>
  </w:footnote>
  <w:footnote w:id="35">
    <w:p w14:paraId="2E86878E" w14:textId="0012F538" w:rsidR="00600AFD" w:rsidRPr="00F40D25" w:rsidRDefault="00600AFD">
      <w:pPr>
        <w:pStyle w:val="FootnoteText"/>
        <w:rPr>
          <w:rFonts w:ascii="Times New Roman" w:hAnsi="Times New Roman" w:cs="Times New Roman"/>
        </w:rPr>
      </w:pPr>
      <w:r w:rsidRPr="00F40D25">
        <w:rPr>
          <w:rStyle w:val="FootnoteReference"/>
          <w:rFonts w:ascii="Times New Roman" w:hAnsi="Times New Roman" w:cs="Times New Roman"/>
        </w:rPr>
        <w:footnoteRef/>
      </w:r>
      <w:r w:rsidRPr="00F40D25">
        <w:rPr>
          <w:rFonts w:ascii="Times New Roman" w:hAnsi="Times New Roman" w:cs="Times New Roman"/>
        </w:rPr>
        <w:t xml:space="preserve"> Information Society Development Strategy in the Republic of Serbia until 2020, “Official Gazette of the Republic of Serbia”, no. 51/2010.</w:t>
      </w:r>
    </w:p>
  </w:footnote>
  <w:footnote w:id="36">
    <w:p w14:paraId="7A0B1D23" w14:textId="77777777" w:rsidR="00600AFD" w:rsidRPr="00F40D25" w:rsidRDefault="00600AFD">
      <w:pPr>
        <w:pStyle w:val="FootnoteText"/>
        <w:rPr>
          <w:rFonts w:ascii="Times New Roman" w:hAnsi="Times New Roman" w:cs="Times New Roman"/>
        </w:rPr>
      </w:pPr>
      <w:r w:rsidRPr="00F40D25">
        <w:rPr>
          <w:rStyle w:val="FootnoteReference"/>
          <w:rFonts w:ascii="Times New Roman" w:hAnsi="Times New Roman" w:cs="Times New Roman"/>
        </w:rPr>
        <w:footnoteRef/>
      </w:r>
      <w:r w:rsidRPr="00F40D25">
        <w:rPr>
          <w:rFonts w:ascii="Times New Roman" w:hAnsi="Times New Roman" w:cs="Times New Roman"/>
        </w:rPr>
        <w:t xml:space="preserve"> See for more detail in the section “Efficiency of Judiciary”. </w:t>
      </w:r>
    </w:p>
  </w:footnote>
  <w:footnote w:id="37">
    <w:p w14:paraId="1769BDA8" w14:textId="77777777" w:rsidR="00600AFD" w:rsidRPr="00F40D25" w:rsidRDefault="00600AFD">
      <w:pPr>
        <w:pStyle w:val="FootnoteText"/>
        <w:rPr>
          <w:rFonts w:ascii="Times New Roman" w:hAnsi="Times New Roman" w:cs="Times New Roman"/>
        </w:rPr>
      </w:pPr>
      <w:r w:rsidRPr="00F40D25">
        <w:rPr>
          <w:rStyle w:val="FootnoteReference"/>
          <w:rFonts w:ascii="Times New Roman" w:hAnsi="Times New Roman" w:cs="Times New Roman"/>
        </w:rPr>
        <w:footnoteRef/>
      </w:r>
      <w:r w:rsidRPr="00F40D25">
        <w:rPr>
          <w:rFonts w:ascii="Times New Roman" w:hAnsi="Times New Roman" w:cs="Times New Roman"/>
        </w:rPr>
        <w:t xml:space="preserve"> Open Data Portal, </w:t>
      </w:r>
      <w:hyperlink r:id="rId5" w:history="1">
        <w:r w:rsidRPr="00F40D25">
          <w:rPr>
            <w:rStyle w:val="Hyperlink"/>
            <w:rFonts w:ascii="Times New Roman" w:hAnsi="Times New Roman"/>
          </w:rPr>
          <w:t>https://data.gov.rs/sr/datasets/?organization=5a9808ffcbe3c80f19373d03</w:t>
        </w:r>
      </w:hyperlink>
      <w:r w:rsidRPr="00F40D25">
        <w:rPr>
          <w:rFonts w:ascii="Times New Roman" w:hAnsi="Times New Roman" w:cs="Times New Roman"/>
        </w:rPr>
        <w:t xml:space="preserve">, accessed January 10, 2019. </w:t>
      </w:r>
    </w:p>
  </w:footnote>
  <w:footnote w:id="38">
    <w:p w14:paraId="4E9D85E9" w14:textId="77777777" w:rsidR="00600AFD" w:rsidRPr="00F40D25" w:rsidRDefault="00600AFD" w:rsidP="00BD4F60">
      <w:pPr>
        <w:pStyle w:val="FootnoteText"/>
        <w:rPr>
          <w:rFonts w:ascii="Times New Roman" w:hAnsi="Times New Roman" w:cs="Times New Roman"/>
        </w:rPr>
      </w:pPr>
      <w:r w:rsidRPr="00F40D25">
        <w:rPr>
          <w:rStyle w:val="FootnoteReference"/>
          <w:rFonts w:ascii="Times New Roman" w:hAnsi="Times New Roman" w:cs="Times New Roman"/>
        </w:rPr>
        <w:footnoteRef/>
      </w:r>
      <w:r w:rsidRPr="00F40D25">
        <w:rPr>
          <w:rFonts w:ascii="Times New Roman" w:hAnsi="Times New Roman" w:cs="Times New Roman"/>
        </w:rPr>
        <w:t xml:space="preserve"> Consultative Council of European Judges, CCJE (2010)3 Final, Magna Carta of Judges (Fundamental Principles), </w:t>
      </w:r>
      <w:hyperlink r:id="rId6" w:history="1">
        <w:r w:rsidRPr="00F40D25">
          <w:rPr>
            <w:rStyle w:val="Hyperlink"/>
            <w:rFonts w:ascii="Times New Roman" w:hAnsi="Times New Roman"/>
          </w:rPr>
          <w:t>https://rm.coe.int/16807482c6</w:t>
        </w:r>
      </w:hyperlink>
      <w:r w:rsidRPr="00F40D25">
        <w:rPr>
          <w:rFonts w:ascii="Times New Roman" w:hAnsi="Times New Roman" w:cs="Times New Roman"/>
        </w:rPr>
        <w:t xml:space="preserve"> </w:t>
      </w:r>
    </w:p>
  </w:footnote>
  <w:footnote w:id="39">
    <w:p w14:paraId="0C27181C" w14:textId="62E3BB6C" w:rsidR="00600AFD" w:rsidRPr="00F40D25" w:rsidRDefault="00600AFD">
      <w:pPr>
        <w:pStyle w:val="FootnoteText"/>
        <w:rPr>
          <w:rFonts w:ascii="Times New Roman" w:hAnsi="Times New Roman" w:cs="Times New Roman"/>
        </w:rPr>
      </w:pPr>
      <w:r w:rsidRPr="00F40D25">
        <w:rPr>
          <w:rStyle w:val="FootnoteReference"/>
          <w:rFonts w:ascii="Times New Roman" w:hAnsi="Times New Roman" w:cs="Times New Roman"/>
        </w:rPr>
        <w:footnoteRef/>
      </w:r>
      <w:r w:rsidRPr="00F40D25">
        <w:rPr>
          <w:rFonts w:ascii="Times New Roman" w:hAnsi="Times New Roman" w:cs="Times New Roman"/>
        </w:rPr>
        <w:t xml:space="preserve"> European Network of Councils for the Judiciary (ENCJ), Resolution of Bucharest on Transparency and Access to Justice, May 2009; </w:t>
      </w:r>
      <w:hyperlink r:id="rId7" w:history="1">
        <w:r w:rsidRPr="00F40D25">
          <w:rPr>
            <w:rStyle w:val="Hyperlink"/>
            <w:rFonts w:ascii="Times New Roman" w:hAnsi="Times New Roman"/>
            <w:spacing w:val="-4"/>
          </w:rPr>
          <w:t>https://www.encj.eu/images/stories/pdf/opinions/resolutionbucharest29may_final.pdf</w:t>
        </w:r>
      </w:hyperlink>
    </w:p>
  </w:footnote>
  <w:footnote w:id="40">
    <w:p w14:paraId="52D4A331" w14:textId="77777777" w:rsidR="00600AFD" w:rsidRPr="00F40D25" w:rsidRDefault="00600AFD">
      <w:pPr>
        <w:pStyle w:val="FootnoteText"/>
        <w:rPr>
          <w:rFonts w:ascii="Times New Roman" w:hAnsi="Times New Roman" w:cs="Times New Roman"/>
        </w:rPr>
      </w:pPr>
      <w:r w:rsidRPr="00F40D25">
        <w:rPr>
          <w:rStyle w:val="FootnoteReference"/>
          <w:rFonts w:ascii="Times New Roman" w:hAnsi="Times New Roman" w:cs="Times New Roman"/>
        </w:rPr>
        <w:footnoteRef/>
      </w:r>
      <w:r w:rsidRPr="00F40D25">
        <w:rPr>
          <w:rFonts w:ascii="Times New Roman" w:hAnsi="Times New Roman" w:cs="Times New Roman"/>
        </w:rPr>
        <w:t xml:space="preserve"> Opinion no. 9 (2014) of the Consultative Council of European Prosecutors on European norms and principles concerning prosecutors, the Rome Charter for Prosecutors; </w:t>
      </w:r>
      <w:hyperlink r:id="rId8" w:history="1">
        <w:r w:rsidRPr="00F40D25">
          <w:rPr>
            <w:rStyle w:val="Hyperlink"/>
            <w:rFonts w:ascii="Times New Roman" w:hAnsi="Times New Roman"/>
          </w:rPr>
          <w:t>https://rm.coe.int/168074738b</w:t>
        </w:r>
      </w:hyperlink>
      <w:r w:rsidRPr="00F40D25">
        <w:rPr>
          <w:rFonts w:ascii="Times New Roman" w:hAnsi="Times New Roman" w:cs="Times New Roman"/>
        </w:rPr>
        <w:t xml:space="preserve"> </w:t>
      </w:r>
    </w:p>
  </w:footnote>
  <w:footnote w:id="41">
    <w:p w14:paraId="42857168" w14:textId="77777777" w:rsidR="00600AFD" w:rsidRPr="00F40D25" w:rsidRDefault="00600AFD">
      <w:pPr>
        <w:pStyle w:val="FootnoteText"/>
        <w:rPr>
          <w:rFonts w:ascii="Times New Roman" w:hAnsi="Times New Roman" w:cs="Times New Roman"/>
        </w:rPr>
      </w:pPr>
      <w:r w:rsidRPr="00F40D25">
        <w:rPr>
          <w:rStyle w:val="FootnoteReference"/>
          <w:rFonts w:ascii="Times New Roman" w:hAnsi="Times New Roman" w:cs="Times New Roman"/>
        </w:rPr>
        <w:footnoteRef/>
      </w:r>
      <w:r w:rsidRPr="00F40D25">
        <w:rPr>
          <w:rFonts w:ascii="Times New Roman" w:hAnsi="Times New Roman" w:cs="Times New Roman"/>
        </w:rPr>
        <w:t xml:space="preserve"> National Program for Adoption of the EU Acquis, Third Revision, February 2018.: </w:t>
      </w:r>
      <w:hyperlink r:id="rId9" w:history="1">
        <w:r w:rsidRPr="00F40D25">
          <w:rPr>
            <w:rStyle w:val="Hyperlink"/>
            <w:rFonts w:ascii="Times New Roman" w:hAnsi="Times New Roman"/>
          </w:rPr>
          <w:t>http://www.mei.gov.rs/upload/documents/nacionalna_dokumenta/npaa/npaa_2018_2021.pdf</w:t>
        </w:r>
      </w:hyperlink>
      <w:r w:rsidRPr="00F40D25">
        <w:rPr>
          <w:rFonts w:ascii="Times New Roman" w:hAnsi="Times New Roman" w:cs="Times New Roman"/>
        </w:rPr>
        <w:t xml:space="preserve"> , accessed January 17,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851D" w14:textId="77777777" w:rsidR="00600AFD" w:rsidRDefault="00600AFD">
    <w:pPr>
      <w:pStyle w:val="Header"/>
    </w:pPr>
    <w:r>
      <w:rPr>
        <w:noProof/>
      </w:rPr>
      <w:pict w14:anchorId="07120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9782" o:spid="_x0000_s2051" type="#_x0000_t136" style="position:absolute;left:0;text-align:left;margin-left:0;margin-top:0;width:596.9pt;height:62.8pt;rotation:315;z-index:-251658240;mso-position-horizontal:center;mso-position-horizontal-relative:margin;mso-position-vertical:center;mso-position-vertical-relative:margin" o:allowincell="f" fillcolor="silver" stroked="f">
          <v:fill opacity=".5"/>
          <v:textpath style="font-family:&quot;Cambria&quot;;font-size:1pt" string="Courtesy Transla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2072" w14:textId="77777777" w:rsidR="00600AFD" w:rsidRDefault="00600AFD">
    <w:pPr>
      <w:pStyle w:val="Header"/>
    </w:pPr>
    <w:r>
      <w:rPr>
        <w:noProof/>
      </w:rPr>
      <w:pict w14:anchorId="596A4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9783" o:spid="_x0000_s2050" type="#_x0000_t136" style="position:absolute;left:0;text-align:left;margin-left:0;margin-top:0;width:596.9pt;height:62.8pt;rotation:315;z-index:-251658239;mso-position-horizontal:center;mso-position-horizontal-relative:margin;mso-position-vertical:center;mso-position-vertical-relative:margin" o:allowincell="f" fillcolor="silver" stroked="f">
          <v:fill opacity=".5"/>
          <v:textpath style="font-family:&quot;Cambria&quot;;font-size:1pt" string="Courtesy Translation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B152" w14:textId="77777777" w:rsidR="00600AFD" w:rsidRDefault="00600AFD">
    <w:pPr>
      <w:pStyle w:val="Header"/>
    </w:pPr>
    <w:r>
      <w:rPr>
        <w:noProof/>
      </w:rPr>
      <w:pict w14:anchorId="5D173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9781" o:spid="_x0000_s2049" type="#_x0000_t136" style="position:absolute;left:0;text-align:left;margin-left:0;margin-top:0;width:596.9pt;height:62.8pt;rotation:315;z-index:-251658238;mso-position-horizontal:center;mso-position-horizontal-relative:margin;mso-position-vertical:center;mso-position-vertical-relative:margin" o:allowincell="f" fillcolor="silver" stroked="f">
          <v:fill opacity=".5"/>
          <v:textpath style="font-family:&quot;Cambria&quot;;font-size:1pt" string="Courtesy Translation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E37"/>
    <w:multiLevelType w:val="hybridMultilevel"/>
    <w:tmpl w:val="4008C11A"/>
    <w:lvl w:ilvl="0" w:tplc="0409000F">
      <w:start w:val="1"/>
      <w:numFmt w:val="decimal"/>
      <w:lvlText w:val="%1."/>
      <w:lvlJc w:val="left"/>
      <w:pPr>
        <w:ind w:left="6020" w:hanging="360"/>
      </w:pPr>
      <w:rPr>
        <w:rFonts w:hint="default"/>
      </w:rPr>
    </w:lvl>
    <w:lvl w:ilvl="1" w:tplc="04090019" w:tentative="1">
      <w:start w:val="1"/>
      <w:numFmt w:val="lowerLetter"/>
      <w:lvlText w:val="%2."/>
      <w:lvlJc w:val="left"/>
      <w:pPr>
        <w:ind w:left="6740" w:hanging="360"/>
      </w:pPr>
    </w:lvl>
    <w:lvl w:ilvl="2" w:tplc="0409001B" w:tentative="1">
      <w:start w:val="1"/>
      <w:numFmt w:val="lowerRoman"/>
      <w:lvlText w:val="%3."/>
      <w:lvlJc w:val="right"/>
      <w:pPr>
        <w:ind w:left="7460" w:hanging="180"/>
      </w:pPr>
    </w:lvl>
    <w:lvl w:ilvl="3" w:tplc="0409000F" w:tentative="1">
      <w:start w:val="1"/>
      <w:numFmt w:val="decimal"/>
      <w:lvlText w:val="%4."/>
      <w:lvlJc w:val="left"/>
      <w:pPr>
        <w:ind w:left="8180" w:hanging="360"/>
      </w:pPr>
    </w:lvl>
    <w:lvl w:ilvl="4" w:tplc="04090019" w:tentative="1">
      <w:start w:val="1"/>
      <w:numFmt w:val="lowerLetter"/>
      <w:lvlText w:val="%5."/>
      <w:lvlJc w:val="left"/>
      <w:pPr>
        <w:ind w:left="8900" w:hanging="360"/>
      </w:pPr>
    </w:lvl>
    <w:lvl w:ilvl="5" w:tplc="0409001B" w:tentative="1">
      <w:start w:val="1"/>
      <w:numFmt w:val="lowerRoman"/>
      <w:lvlText w:val="%6."/>
      <w:lvlJc w:val="right"/>
      <w:pPr>
        <w:ind w:left="9620" w:hanging="180"/>
      </w:pPr>
    </w:lvl>
    <w:lvl w:ilvl="6" w:tplc="0409000F" w:tentative="1">
      <w:start w:val="1"/>
      <w:numFmt w:val="decimal"/>
      <w:lvlText w:val="%7."/>
      <w:lvlJc w:val="left"/>
      <w:pPr>
        <w:ind w:left="10340" w:hanging="360"/>
      </w:pPr>
    </w:lvl>
    <w:lvl w:ilvl="7" w:tplc="04090019" w:tentative="1">
      <w:start w:val="1"/>
      <w:numFmt w:val="lowerLetter"/>
      <w:lvlText w:val="%8."/>
      <w:lvlJc w:val="left"/>
      <w:pPr>
        <w:ind w:left="11060" w:hanging="360"/>
      </w:pPr>
    </w:lvl>
    <w:lvl w:ilvl="8" w:tplc="0409001B" w:tentative="1">
      <w:start w:val="1"/>
      <w:numFmt w:val="lowerRoman"/>
      <w:lvlText w:val="%9."/>
      <w:lvlJc w:val="right"/>
      <w:pPr>
        <w:ind w:left="11780" w:hanging="180"/>
      </w:pPr>
    </w:lvl>
  </w:abstractNum>
  <w:abstractNum w:abstractNumId="1" w15:restartNumberingAfterBreak="0">
    <w:nsid w:val="090E069A"/>
    <w:multiLevelType w:val="hybridMultilevel"/>
    <w:tmpl w:val="C19AC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064F7"/>
    <w:multiLevelType w:val="hybridMultilevel"/>
    <w:tmpl w:val="65C0D2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D7FA9"/>
    <w:multiLevelType w:val="hybridMultilevel"/>
    <w:tmpl w:val="70AAB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C6609"/>
    <w:multiLevelType w:val="hybridMultilevel"/>
    <w:tmpl w:val="8608791C"/>
    <w:lvl w:ilvl="0" w:tplc="241A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A41CA"/>
    <w:multiLevelType w:val="hybridMultilevel"/>
    <w:tmpl w:val="2DA4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7183A"/>
    <w:multiLevelType w:val="hybridMultilevel"/>
    <w:tmpl w:val="2AF6A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8242EF"/>
    <w:multiLevelType w:val="multilevel"/>
    <w:tmpl w:val="69BCD070"/>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28DE0A9C"/>
    <w:multiLevelType w:val="hybridMultilevel"/>
    <w:tmpl w:val="F0405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76C1B"/>
    <w:multiLevelType w:val="hybridMultilevel"/>
    <w:tmpl w:val="3732F9F2"/>
    <w:lvl w:ilvl="0" w:tplc="685E41CC">
      <w:numFmt w:val="bullet"/>
      <w:lvlText w:val="-"/>
      <w:lvlJc w:val="left"/>
      <w:pPr>
        <w:ind w:left="720" w:hanging="360"/>
      </w:pPr>
      <w:rPr>
        <w:rFonts w:ascii="Cambria" w:eastAsiaTheme="minorHAnsi" w:hAnsi="Cambria" w:cstheme="minorBidi"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2F022ECB"/>
    <w:multiLevelType w:val="hybridMultilevel"/>
    <w:tmpl w:val="D21E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B9C"/>
    <w:multiLevelType w:val="hybridMultilevel"/>
    <w:tmpl w:val="6180E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B6CB7"/>
    <w:multiLevelType w:val="hybridMultilevel"/>
    <w:tmpl w:val="090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81115"/>
    <w:multiLevelType w:val="hybridMultilevel"/>
    <w:tmpl w:val="170A1E0A"/>
    <w:lvl w:ilvl="0" w:tplc="04090013">
      <w:start w:val="1"/>
      <w:numFmt w:val="upperRoman"/>
      <w:lvlText w:val="%1."/>
      <w:lvlJc w:val="righ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A694F84"/>
    <w:multiLevelType w:val="hybridMultilevel"/>
    <w:tmpl w:val="740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E266E"/>
    <w:multiLevelType w:val="hybridMultilevel"/>
    <w:tmpl w:val="00229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33CE4"/>
    <w:multiLevelType w:val="hybridMultilevel"/>
    <w:tmpl w:val="69DE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93F2A"/>
    <w:multiLevelType w:val="hybridMultilevel"/>
    <w:tmpl w:val="406A8196"/>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1297D"/>
    <w:multiLevelType w:val="hybridMultilevel"/>
    <w:tmpl w:val="89C82B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0FA1F76"/>
    <w:multiLevelType w:val="hybridMultilevel"/>
    <w:tmpl w:val="58BC7F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6229E"/>
    <w:multiLevelType w:val="hybridMultilevel"/>
    <w:tmpl w:val="149AA61C"/>
    <w:lvl w:ilvl="0" w:tplc="F36C3FC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77250"/>
    <w:multiLevelType w:val="hybridMultilevel"/>
    <w:tmpl w:val="30BC12DA"/>
    <w:lvl w:ilvl="0" w:tplc="6D803782">
      <w:start w:val="1"/>
      <w:numFmt w:val="upperRoman"/>
      <w:lvlText w:val="%1."/>
      <w:lvlJc w:val="left"/>
      <w:pPr>
        <w:ind w:left="1080" w:hanging="720"/>
      </w:pPr>
      <w:rPr>
        <w:rFonts w:hint="default"/>
      </w:rPr>
    </w:lvl>
    <w:lvl w:ilvl="1" w:tplc="A43C1D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85FA2"/>
    <w:multiLevelType w:val="hybridMultilevel"/>
    <w:tmpl w:val="D96C8B00"/>
    <w:lvl w:ilvl="0" w:tplc="6B3C7250">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86357C"/>
    <w:multiLevelType w:val="hybridMultilevel"/>
    <w:tmpl w:val="49CEF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FF5C58"/>
    <w:multiLevelType w:val="hybridMultilevel"/>
    <w:tmpl w:val="CAB4E1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52945"/>
    <w:multiLevelType w:val="hybridMultilevel"/>
    <w:tmpl w:val="F7308BEA"/>
    <w:lvl w:ilvl="0" w:tplc="04090013">
      <w:start w:val="1"/>
      <w:numFmt w:val="upperRoman"/>
      <w:lvlText w:val="%1."/>
      <w:lvlJc w:val="righ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76B2539B"/>
    <w:multiLevelType w:val="hybridMultilevel"/>
    <w:tmpl w:val="1352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63881"/>
    <w:multiLevelType w:val="hybridMultilevel"/>
    <w:tmpl w:val="E18C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40D6C"/>
    <w:multiLevelType w:val="hybridMultilevel"/>
    <w:tmpl w:val="9EC6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4"/>
  </w:num>
  <w:num w:numId="4">
    <w:abstractNumId w:val="2"/>
  </w:num>
  <w:num w:numId="5">
    <w:abstractNumId w:val="21"/>
  </w:num>
  <w:num w:numId="6">
    <w:abstractNumId w:val="17"/>
  </w:num>
  <w:num w:numId="7">
    <w:abstractNumId w:val="0"/>
  </w:num>
  <w:num w:numId="8">
    <w:abstractNumId w:val="20"/>
  </w:num>
  <w:num w:numId="9">
    <w:abstractNumId w:val="19"/>
  </w:num>
  <w:num w:numId="10">
    <w:abstractNumId w:val="18"/>
  </w:num>
  <w:num w:numId="11">
    <w:abstractNumId w:val="12"/>
  </w:num>
  <w:num w:numId="12">
    <w:abstractNumId w:val="8"/>
  </w:num>
  <w:num w:numId="13">
    <w:abstractNumId w:val="7"/>
  </w:num>
  <w:num w:numId="14">
    <w:abstractNumId w:val="4"/>
  </w:num>
  <w:num w:numId="15">
    <w:abstractNumId w:val="1"/>
  </w:num>
  <w:num w:numId="16">
    <w:abstractNumId w:val="5"/>
  </w:num>
  <w:num w:numId="17">
    <w:abstractNumId w:val="10"/>
  </w:num>
  <w:num w:numId="18">
    <w:abstractNumId w:val="27"/>
  </w:num>
  <w:num w:numId="19">
    <w:abstractNumId w:val="3"/>
  </w:num>
  <w:num w:numId="20">
    <w:abstractNumId w:val="6"/>
  </w:num>
  <w:num w:numId="21">
    <w:abstractNumId w:val="28"/>
  </w:num>
  <w:num w:numId="22">
    <w:abstractNumId w:val="14"/>
  </w:num>
  <w:num w:numId="23">
    <w:abstractNumId w:val="23"/>
  </w:num>
  <w:num w:numId="24">
    <w:abstractNumId w:val="11"/>
  </w:num>
  <w:num w:numId="25">
    <w:abstractNumId w:val="15"/>
  </w:num>
  <w:num w:numId="26">
    <w:abstractNumId w:val="9"/>
  </w:num>
  <w:num w:numId="27">
    <w:abstractNumId w:val="22"/>
  </w:num>
  <w:num w:numId="28">
    <w:abstractNumId w:val="25"/>
  </w:num>
  <w:num w:numId="2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3B"/>
    <w:rsid w:val="000000F7"/>
    <w:rsid w:val="000006FA"/>
    <w:rsid w:val="00000DFE"/>
    <w:rsid w:val="00001DDB"/>
    <w:rsid w:val="00002178"/>
    <w:rsid w:val="00002BD4"/>
    <w:rsid w:val="000040DA"/>
    <w:rsid w:val="00004312"/>
    <w:rsid w:val="00004408"/>
    <w:rsid w:val="00005ADC"/>
    <w:rsid w:val="000068D4"/>
    <w:rsid w:val="00006FE3"/>
    <w:rsid w:val="00007C73"/>
    <w:rsid w:val="00010980"/>
    <w:rsid w:val="00011441"/>
    <w:rsid w:val="00011E7A"/>
    <w:rsid w:val="0001215F"/>
    <w:rsid w:val="000121D0"/>
    <w:rsid w:val="00012376"/>
    <w:rsid w:val="00012C50"/>
    <w:rsid w:val="000130D4"/>
    <w:rsid w:val="000140F8"/>
    <w:rsid w:val="00014722"/>
    <w:rsid w:val="0001484E"/>
    <w:rsid w:val="00015243"/>
    <w:rsid w:val="00015B97"/>
    <w:rsid w:val="00017CB7"/>
    <w:rsid w:val="00020400"/>
    <w:rsid w:val="00020A66"/>
    <w:rsid w:val="00022065"/>
    <w:rsid w:val="000226D8"/>
    <w:rsid w:val="00023CD5"/>
    <w:rsid w:val="00026443"/>
    <w:rsid w:val="000279EF"/>
    <w:rsid w:val="00030464"/>
    <w:rsid w:val="000317F2"/>
    <w:rsid w:val="00031AF8"/>
    <w:rsid w:val="00032763"/>
    <w:rsid w:val="00032B8C"/>
    <w:rsid w:val="000337C2"/>
    <w:rsid w:val="00033BD8"/>
    <w:rsid w:val="00034B63"/>
    <w:rsid w:val="0003505F"/>
    <w:rsid w:val="000350A2"/>
    <w:rsid w:val="000351D3"/>
    <w:rsid w:val="000353F5"/>
    <w:rsid w:val="0003663E"/>
    <w:rsid w:val="000412A8"/>
    <w:rsid w:val="00041F15"/>
    <w:rsid w:val="00042134"/>
    <w:rsid w:val="00042595"/>
    <w:rsid w:val="000430ED"/>
    <w:rsid w:val="00043C2C"/>
    <w:rsid w:val="000448D8"/>
    <w:rsid w:val="00045724"/>
    <w:rsid w:val="0004754F"/>
    <w:rsid w:val="00047ACA"/>
    <w:rsid w:val="000500E1"/>
    <w:rsid w:val="000505B7"/>
    <w:rsid w:val="00051326"/>
    <w:rsid w:val="00051948"/>
    <w:rsid w:val="00052BBC"/>
    <w:rsid w:val="0005317C"/>
    <w:rsid w:val="000541C2"/>
    <w:rsid w:val="000545FD"/>
    <w:rsid w:val="0005590F"/>
    <w:rsid w:val="00056275"/>
    <w:rsid w:val="00057F3C"/>
    <w:rsid w:val="00060AA9"/>
    <w:rsid w:val="000637D6"/>
    <w:rsid w:val="00063F9F"/>
    <w:rsid w:val="00064197"/>
    <w:rsid w:val="00064C56"/>
    <w:rsid w:val="00064E13"/>
    <w:rsid w:val="0006585C"/>
    <w:rsid w:val="00066C73"/>
    <w:rsid w:val="00066EAB"/>
    <w:rsid w:val="0006746F"/>
    <w:rsid w:val="00070A76"/>
    <w:rsid w:val="000717FF"/>
    <w:rsid w:val="00072F24"/>
    <w:rsid w:val="00072FC6"/>
    <w:rsid w:val="000735AC"/>
    <w:rsid w:val="00073B2F"/>
    <w:rsid w:val="0007479E"/>
    <w:rsid w:val="00074952"/>
    <w:rsid w:val="000766A6"/>
    <w:rsid w:val="00076CD9"/>
    <w:rsid w:val="00080A16"/>
    <w:rsid w:val="00081D1E"/>
    <w:rsid w:val="00081EFF"/>
    <w:rsid w:val="0008226E"/>
    <w:rsid w:val="00082A0F"/>
    <w:rsid w:val="000836DF"/>
    <w:rsid w:val="00084A83"/>
    <w:rsid w:val="000855C9"/>
    <w:rsid w:val="00085920"/>
    <w:rsid w:val="000864F0"/>
    <w:rsid w:val="00086CE2"/>
    <w:rsid w:val="00090275"/>
    <w:rsid w:val="000902A6"/>
    <w:rsid w:val="0009122B"/>
    <w:rsid w:val="00093333"/>
    <w:rsid w:val="00094113"/>
    <w:rsid w:val="0009593A"/>
    <w:rsid w:val="0009675F"/>
    <w:rsid w:val="000A00DB"/>
    <w:rsid w:val="000A0A57"/>
    <w:rsid w:val="000A0BD5"/>
    <w:rsid w:val="000A1028"/>
    <w:rsid w:val="000A1D06"/>
    <w:rsid w:val="000A222E"/>
    <w:rsid w:val="000A2486"/>
    <w:rsid w:val="000A28B8"/>
    <w:rsid w:val="000A2918"/>
    <w:rsid w:val="000A3453"/>
    <w:rsid w:val="000A35D4"/>
    <w:rsid w:val="000A4E98"/>
    <w:rsid w:val="000A5CF1"/>
    <w:rsid w:val="000A5E55"/>
    <w:rsid w:val="000A639C"/>
    <w:rsid w:val="000A6968"/>
    <w:rsid w:val="000A69FD"/>
    <w:rsid w:val="000A6F7F"/>
    <w:rsid w:val="000A7956"/>
    <w:rsid w:val="000A7D5B"/>
    <w:rsid w:val="000B0578"/>
    <w:rsid w:val="000B08D6"/>
    <w:rsid w:val="000B0EC1"/>
    <w:rsid w:val="000B0ECE"/>
    <w:rsid w:val="000B11E3"/>
    <w:rsid w:val="000B1F1E"/>
    <w:rsid w:val="000B3337"/>
    <w:rsid w:val="000B67BD"/>
    <w:rsid w:val="000C1451"/>
    <w:rsid w:val="000C2149"/>
    <w:rsid w:val="000C28FE"/>
    <w:rsid w:val="000C2A90"/>
    <w:rsid w:val="000C432B"/>
    <w:rsid w:val="000C4871"/>
    <w:rsid w:val="000C6ABE"/>
    <w:rsid w:val="000C73E7"/>
    <w:rsid w:val="000D077C"/>
    <w:rsid w:val="000D1C54"/>
    <w:rsid w:val="000D22E1"/>
    <w:rsid w:val="000D3399"/>
    <w:rsid w:val="000D3C60"/>
    <w:rsid w:val="000D3F68"/>
    <w:rsid w:val="000D4C17"/>
    <w:rsid w:val="000D4EAC"/>
    <w:rsid w:val="000D7DDD"/>
    <w:rsid w:val="000D7F85"/>
    <w:rsid w:val="000E0BDC"/>
    <w:rsid w:val="000E25EB"/>
    <w:rsid w:val="000E3537"/>
    <w:rsid w:val="000E3C42"/>
    <w:rsid w:val="000E3C70"/>
    <w:rsid w:val="000E463A"/>
    <w:rsid w:val="000E560C"/>
    <w:rsid w:val="000E7704"/>
    <w:rsid w:val="000F0978"/>
    <w:rsid w:val="000F1058"/>
    <w:rsid w:val="000F1D46"/>
    <w:rsid w:val="000F3999"/>
    <w:rsid w:val="000F3C83"/>
    <w:rsid w:val="000F4019"/>
    <w:rsid w:val="000F6FC2"/>
    <w:rsid w:val="000F7983"/>
    <w:rsid w:val="0010009E"/>
    <w:rsid w:val="00100807"/>
    <w:rsid w:val="00100C51"/>
    <w:rsid w:val="00101270"/>
    <w:rsid w:val="00101274"/>
    <w:rsid w:val="0010140E"/>
    <w:rsid w:val="0010143D"/>
    <w:rsid w:val="001050A1"/>
    <w:rsid w:val="00106457"/>
    <w:rsid w:val="00106458"/>
    <w:rsid w:val="00106A36"/>
    <w:rsid w:val="00107035"/>
    <w:rsid w:val="001073B1"/>
    <w:rsid w:val="00107DD0"/>
    <w:rsid w:val="0011047B"/>
    <w:rsid w:val="001114B3"/>
    <w:rsid w:val="00111DF9"/>
    <w:rsid w:val="00112339"/>
    <w:rsid w:val="0011257E"/>
    <w:rsid w:val="00112A38"/>
    <w:rsid w:val="00112FB5"/>
    <w:rsid w:val="0011324B"/>
    <w:rsid w:val="0011459A"/>
    <w:rsid w:val="00114924"/>
    <w:rsid w:val="00114FCA"/>
    <w:rsid w:val="001160F8"/>
    <w:rsid w:val="001162D6"/>
    <w:rsid w:val="0011642E"/>
    <w:rsid w:val="00116996"/>
    <w:rsid w:val="001179DA"/>
    <w:rsid w:val="00117A58"/>
    <w:rsid w:val="00121EB8"/>
    <w:rsid w:val="001221F0"/>
    <w:rsid w:val="00122208"/>
    <w:rsid w:val="00123618"/>
    <w:rsid w:val="00124CF6"/>
    <w:rsid w:val="00125043"/>
    <w:rsid w:val="0012521D"/>
    <w:rsid w:val="001255C5"/>
    <w:rsid w:val="0012566D"/>
    <w:rsid w:val="00126DD8"/>
    <w:rsid w:val="001274C9"/>
    <w:rsid w:val="00127A29"/>
    <w:rsid w:val="00127CB3"/>
    <w:rsid w:val="001305EA"/>
    <w:rsid w:val="00130804"/>
    <w:rsid w:val="00132570"/>
    <w:rsid w:val="00132942"/>
    <w:rsid w:val="00132D4C"/>
    <w:rsid w:val="0013368A"/>
    <w:rsid w:val="00133C3C"/>
    <w:rsid w:val="0013419B"/>
    <w:rsid w:val="001347FE"/>
    <w:rsid w:val="00134E11"/>
    <w:rsid w:val="00135299"/>
    <w:rsid w:val="00135E01"/>
    <w:rsid w:val="00136F5A"/>
    <w:rsid w:val="0014111D"/>
    <w:rsid w:val="00141359"/>
    <w:rsid w:val="00142306"/>
    <w:rsid w:val="00142E27"/>
    <w:rsid w:val="0014305C"/>
    <w:rsid w:val="00143520"/>
    <w:rsid w:val="00144201"/>
    <w:rsid w:val="00144C7E"/>
    <w:rsid w:val="00144FF4"/>
    <w:rsid w:val="0014500F"/>
    <w:rsid w:val="001456DF"/>
    <w:rsid w:val="001457C8"/>
    <w:rsid w:val="00145A10"/>
    <w:rsid w:val="00146F07"/>
    <w:rsid w:val="00147D6A"/>
    <w:rsid w:val="001507EE"/>
    <w:rsid w:val="00150DF2"/>
    <w:rsid w:val="00150E1E"/>
    <w:rsid w:val="00150F47"/>
    <w:rsid w:val="00152218"/>
    <w:rsid w:val="00152624"/>
    <w:rsid w:val="00152988"/>
    <w:rsid w:val="00153625"/>
    <w:rsid w:val="001541F4"/>
    <w:rsid w:val="00155406"/>
    <w:rsid w:val="00157EB2"/>
    <w:rsid w:val="00157F43"/>
    <w:rsid w:val="00161B82"/>
    <w:rsid w:val="00161DDB"/>
    <w:rsid w:val="001623A9"/>
    <w:rsid w:val="00162736"/>
    <w:rsid w:val="00162A4C"/>
    <w:rsid w:val="001630B3"/>
    <w:rsid w:val="00164B42"/>
    <w:rsid w:val="00164BDB"/>
    <w:rsid w:val="0016551B"/>
    <w:rsid w:val="00165DAB"/>
    <w:rsid w:val="00166A88"/>
    <w:rsid w:val="00167BBC"/>
    <w:rsid w:val="00167C2E"/>
    <w:rsid w:val="00167CE5"/>
    <w:rsid w:val="001705D2"/>
    <w:rsid w:val="0017090D"/>
    <w:rsid w:val="00170EBC"/>
    <w:rsid w:val="0017116E"/>
    <w:rsid w:val="00172886"/>
    <w:rsid w:val="00174561"/>
    <w:rsid w:val="0017493B"/>
    <w:rsid w:val="00174A0C"/>
    <w:rsid w:val="00176003"/>
    <w:rsid w:val="00176844"/>
    <w:rsid w:val="00176DB8"/>
    <w:rsid w:val="00177C85"/>
    <w:rsid w:val="00180368"/>
    <w:rsid w:val="0018103D"/>
    <w:rsid w:val="001814E5"/>
    <w:rsid w:val="00181A29"/>
    <w:rsid w:val="00182228"/>
    <w:rsid w:val="00182556"/>
    <w:rsid w:val="00182AFE"/>
    <w:rsid w:val="001835F6"/>
    <w:rsid w:val="00184046"/>
    <w:rsid w:val="00184C40"/>
    <w:rsid w:val="0018513A"/>
    <w:rsid w:val="001864A9"/>
    <w:rsid w:val="00186C4E"/>
    <w:rsid w:val="00186F58"/>
    <w:rsid w:val="001872B0"/>
    <w:rsid w:val="00190438"/>
    <w:rsid w:val="0019091E"/>
    <w:rsid w:val="0019140B"/>
    <w:rsid w:val="0019247B"/>
    <w:rsid w:val="00192B3B"/>
    <w:rsid w:val="001935B8"/>
    <w:rsid w:val="001939CA"/>
    <w:rsid w:val="001940B1"/>
    <w:rsid w:val="001941C6"/>
    <w:rsid w:val="00194976"/>
    <w:rsid w:val="001954CE"/>
    <w:rsid w:val="00195521"/>
    <w:rsid w:val="00195C1C"/>
    <w:rsid w:val="001960B9"/>
    <w:rsid w:val="00196607"/>
    <w:rsid w:val="001966CD"/>
    <w:rsid w:val="001969DF"/>
    <w:rsid w:val="001970BD"/>
    <w:rsid w:val="00197313"/>
    <w:rsid w:val="00197833"/>
    <w:rsid w:val="001A03E0"/>
    <w:rsid w:val="001A0FB3"/>
    <w:rsid w:val="001A1CDE"/>
    <w:rsid w:val="001A1D46"/>
    <w:rsid w:val="001A2254"/>
    <w:rsid w:val="001A2348"/>
    <w:rsid w:val="001A23A6"/>
    <w:rsid w:val="001A29C5"/>
    <w:rsid w:val="001A31E3"/>
    <w:rsid w:val="001A35BA"/>
    <w:rsid w:val="001A3817"/>
    <w:rsid w:val="001A3B53"/>
    <w:rsid w:val="001A41BB"/>
    <w:rsid w:val="001A550B"/>
    <w:rsid w:val="001A58D4"/>
    <w:rsid w:val="001A5C95"/>
    <w:rsid w:val="001A6482"/>
    <w:rsid w:val="001A7767"/>
    <w:rsid w:val="001A77C7"/>
    <w:rsid w:val="001B010C"/>
    <w:rsid w:val="001B058B"/>
    <w:rsid w:val="001B21B3"/>
    <w:rsid w:val="001B2A63"/>
    <w:rsid w:val="001B32A8"/>
    <w:rsid w:val="001B3E29"/>
    <w:rsid w:val="001B4A2B"/>
    <w:rsid w:val="001B5BED"/>
    <w:rsid w:val="001B6C91"/>
    <w:rsid w:val="001C0328"/>
    <w:rsid w:val="001C12F2"/>
    <w:rsid w:val="001C23F9"/>
    <w:rsid w:val="001C2412"/>
    <w:rsid w:val="001C2945"/>
    <w:rsid w:val="001C2E93"/>
    <w:rsid w:val="001C4319"/>
    <w:rsid w:val="001C432C"/>
    <w:rsid w:val="001C4406"/>
    <w:rsid w:val="001C4B03"/>
    <w:rsid w:val="001C58AC"/>
    <w:rsid w:val="001C58FD"/>
    <w:rsid w:val="001C5944"/>
    <w:rsid w:val="001C623F"/>
    <w:rsid w:val="001C6259"/>
    <w:rsid w:val="001C6A24"/>
    <w:rsid w:val="001C7842"/>
    <w:rsid w:val="001D0069"/>
    <w:rsid w:val="001D0863"/>
    <w:rsid w:val="001D0CE2"/>
    <w:rsid w:val="001D1136"/>
    <w:rsid w:val="001D127F"/>
    <w:rsid w:val="001D255A"/>
    <w:rsid w:val="001D2C53"/>
    <w:rsid w:val="001D3C90"/>
    <w:rsid w:val="001D444F"/>
    <w:rsid w:val="001D44B7"/>
    <w:rsid w:val="001D49A5"/>
    <w:rsid w:val="001D5B57"/>
    <w:rsid w:val="001D5FF9"/>
    <w:rsid w:val="001D6015"/>
    <w:rsid w:val="001D62EE"/>
    <w:rsid w:val="001D7692"/>
    <w:rsid w:val="001D79E1"/>
    <w:rsid w:val="001D7F28"/>
    <w:rsid w:val="001E010F"/>
    <w:rsid w:val="001E0B0B"/>
    <w:rsid w:val="001E0E9F"/>
    <w:rsid w:val="001E2425"/>
    <w:rsid w:val="001E29AA"/>
    <w:rsid w:val="001E2BB3"/>
    <w:rsid w:val="001E328B"/>
    <w:rsid w:val="001E33C1"/>
    <w:rsid w:val="001E350F"/>
    <w:rsid w:val="001E48C6"/>
    <w:rsid w:val="001E4BD6"/>
    <w:rsid w:val="001E4C60"/>
    <w:rsid w:val="001E522A"/>
    <w:rsid w:val="001E6ADA"/>
    <w:rsid w:val="001E7F09"/>
    <w:rsid w:val="001F0840"/>
    <w:rsid w:val="001F1F7F"/>
    <w:rsid w:val="001F20E5"/>
    <w:rsid w:val="001F2B27"/>
    <w:rsid w:val="001F3A30"/>
    <w:rsid w:val="001F3B5C"/>
    <w:rsid w:val="001F48F8"/>
    <w:rsid w:val="001F5907"/>
    <w:rsid w:val="001F64D9"/>
    <w:rsid w:val="001F665E"/>
    <w:rsid w:val="001F6E4B"/>
    <w:rsid w:val="001F76A7"/>
    <w:rsid w:val="001F7A7C"/>
    <w:rsid w:val="001F7B36"/>
    <w:rsid w:val="00200B53"/>
    <w:rsid w:val="00201D94"/>
    <w:rsid w:val="002022A6"/>
    <w:rsid w:val="002026D5"/>
    <w:rsid w:val="00202998"/>
    <w:rsid w:val="002040EF"/>
    <w:rsid w:val="00204544"/>
    <w:rsid w:val="00204D49"/>
    <w:rsid w:val="0020662B"/>
    <w:rsid w:val="0020672A"/>
    <w:rsid w:val="00206AB3"/>
    <w:rsid w:val="002076C5"/>
    <w:rsid w:val="00207793"/>
    <w:rsid w:val="00207A59"/>
    <w:rsid w:val="00210094"/>
    <w:rsid w:val="0021027F"/>
    <w:rsid w:val="00210832"/>
    <w:rsid w:val="002109E2"/>
    <w:rsid w:val="00210F27"/>
    <w:rsid w:val="00210FC6"/>
    <w:rsid w:val="0021248F"/>
    <w:rsid w:val="00214638"/>
    <w:rsid w:val="00215D6D"/>
    <w:rsid w:val="00216569"/>
    <w:rsid w:val="0021674E"/>
    <w:rsid w:val="0021764C"/>
    <w:rsid w:val="0022015F"/>
    <w:rsid w:val="00221A46"/>
    <w:rsid w:val="002223CA"/>
    <w:rsid w:val="0022247A"/>
    <w:rsid w:val="00222AFF"/>
    <w:rsid w:val="00223102"/>
    <w:rsid w:val="00224AA4"/>
    <w:rsid w:val="00224CBF"/>
    <w:rsid w:val="00225772"/>
    <w:rsid w:val="002257D9"/>
    <w:rsid w:val="0022614B"/>
    <w:rsid w:val="002261AE"/>
    <w:rsid w:val="0022712E"/>
    <w:rsid w:val="00230A17"/>
    <w:rsid w:val="0023150C"/>
    <w:rsid w:val="002316FB"/>
    <w:rsid w:val="00231766"/>
    <w:rsid w:val="00231823"/>
    <w:rsid w:val="00232771"/>
    <w:rsid w:val="0023367D"/>
    <w:rsid w:val="00233A7A"/>
    <w:rsid w:val="00233C54"/>
    <w:rsid w:val="00234D87"/>
    <w:rsid w:val="002355AF"/>
    <w:rsid w:val="00236D5D"/>
    <w:rsid w:val="00237666"/>
    <w:rsid w:val="002402AF"/>
    <w:rsid w:val="002404D3"/>
    <w:rsid w:val="00240821"/>
    <w:rsid w:val="00240E3A"/>
    <w:rsid w:val="00240EFA"/>
    <w:rsid w:val="00241362"/>
    <w:rsid w:val="00241BF7"/>
    <w:rsid w:val="00241C9D"/>
    <w:rsid w:val="00241CCF"/>
    <w:rsid w:val="0024307A"/>
    <w:rsid w:val="00243EEB"/>
    <w:rsid w:val="002446AE"/>
    <w:rsid w:val="00244BCA"/>
    <w:rsid w:val="00246314"/>
    <w:rsid w:val="00246692"/>
    <w:rsid w:val="002479BB"/>
    <w:rsid w:val="00250595"/>
    <w:rsid w:val="0025059A"/>
    <w:rsid w:val="00250725"/>
    <w:rsid w:val="0025107B"/>
    <w:rsid w:val="00251492"/>
    <w:rsid w:val="00251AFF"/>
    <w:rsid w:val="0025369F"/>
    <w:rsid w:val="002536FB"/>
    <w:rsid w:val="002539BC"/>
    <w:rsid w:val="00254232"/>
    <w:rsid w:val="002552B4"/>
    <w:rsid w:val="00255EFD"/>
    <w:rsid w:val="00256EF7"/>
    <w:rsid w:val="00257ACC"/>
    <w:rsid w:val="00257DFD"/>
    <w:rsid w:val="00257EEB"/>
    <w:rsid w:val="00257FEC"/>
    <w:rsid w:val="002609A7"/>
    <w:rsid w:val="002610A8"/>
    <w:rsid w:val="0026159F"/>
    <w:rsid w:val="00261943"/>
    <w:rsid w:val="00263273"/>
    <w:rsid w:val="0026509D"/>
    <w:rsid w:val="0026529D"/>
    <w:rsid w:val="002652A4"/>
    <w:rsid w:val="00265502"/>
    <w:rsid w:val="002657C1"/>
    <w:rsid w:val="00265CB2"/>
    <w:rsid w:val="0026699C"/>
    <w:rsid w:val="00266D6A"/>
    <w:rsid w:val="00267124"/>
    <w:rsid w:val="002673A2"/>
    <w:rsid w:val="00270066"/>
    <w:rsid w:val="002706FD"/>
    <w:rsid w:val="002709A7"/>
    <w:rsid w:val="00270C85"/>
    <w:rsid w:val="00271705"/>
    <w:rsid w:val="00274892"/>
    <w:rsid w:val="002749AA"/>
    <w:rsid w:val="00276222"/>
    <w:rsid w:val="0027695D"/>
    <w:rsid w:val="00276E41"/>
    <w:rsid w:val="00277C5A"/>
    <w:rsid w:val="00277F17"/>
    <w:rsid w:val="00280469"/>
    <w:rsid w:val="00280798"/>
    <w:rsid w:val="0028130B"/>
    <w:rsid w:val="00281E6A"/>
    <w:rsid w:val="00282AED"/>
    <w:rsid w:val="00283354"/>
    <w:rsid w:val="002834E8"/>
    <w:rsid w:val="0028416E"/>
    <w:rsid w:val="002868B4"/>
    <w:rsid w:val="00286BA1"/>
    <w:rsid w:val="00286FD9"/>
    <w:rsid w:val="00287898"/>
    <w:rsid w:val="00287DC8"/>
    <w:rsid w:val="00290021"/>
    <w:rsid w:val="00290DFD"/>
    <w:rsid w:val="00291280"/>
    <w:rsid w:val="00292476"/>
    <w:rsid w:val="002925FF"/>
    <w:rsid w:val="00292A59"/>
    <w:rsid w:val="00292AF4"/>
    <w:rsid w:val="00292FFB"/>
    <w:rsid w:val="0029363D"/>
    <w:rsid w:val="00294489"/>
    <w:rsid w:val="00294630"/>
    <w:rsid w:val="00294AD5"/>
    <w:rsid w:val="00295F19"/>
    <w:rsid w:val="00296268"/>
    <w:rsid w:val="00296562"/>
    <w:rsid w:val="00297059"/>
    <w:rsid w:val="00297B87"/>
    <w:rsid w:val="002A0501"/>
    <w:rsid w:val="002A0D97"/>
    <w:rsid w:val="002A1908"/>
    <w:rsid w:val="002A2665"/>
    <w:rsid w:val="002A3555"/>
    <w:rsid w:val="002A4D29"/>
    <w:rsid w:val="002A4DA8"/>
    <w:rsid w:val="002A4DB2"/>
    <w:rsid w:val="002A4F93"/>
    <w:rsid w:val="002A51F1"/>
    <w:rsid w:val="002A5657"/>
    <w:rsid w:val="002A5836"/>
    <w:rsid w:val="002A641D"/>
    <w:rsid w:val="002A651B"/>
    <w:rsid w:val="002A7A89"/>
    <w:rsid w:val="002B0303"/>
    <w:rsid w:val="002B0930"/>
    <w:rsid w:val="002B0FBD"/>
    <w:rsid w:val="002B1305"/>
    <w:rsid w:val="002B1DBA"/>
    <w:rsid w:val="002B2A71"/>
    <w:rsid w:val="002B38EF"/>
    <w:rsid w:val="002B439A"/>
    <w:rsid w:val="002B455C"/>
    <w:rsid w:val="002B48FF"/>
    <w:rsid w:val="002B5656"/>
    <w:rsid w:val="002B5C89"/>
    <w:rsid w:val="002B6FD2"/>
    <w:rsid w:val="002B7C1A"/>
    <w:rsid w:val="002C1623"/>
    <w:rsid w:val="002C1BCD"/>
    <w:rsid w:val="002C25F3"/>
    <w:rsid w:val="002C2D1B"/>
    <w:rsid w:val="002C3604"/>
    <w:rsid w:val="002C36FA"/>
    <w:rsid w:val="002C3887"/>
    <w:rsid w:val="002C41C8"/>
    <w:rsid w:val="002C4620"/>
    <w:rsid w:val="002C534D"/>
    <w:rsid w:val="002C5929"/>
    <w:rsid w:val="002C62A4"/>
    <w:rsid w:val="002C6E95"/>
    <w:rsid w:val="002C6F36"/>
    <w:rsid w:val="002C715A"/>
    <w:rsid w:val="002C7711"/>
    <w:rsid w:val="002D003A"/>
    <w:rsid w:val="002D0423"/>
    <w:rsid w:val="002D140D"/>
    <w:rsid w:val="002D1447"/>
    <w:rsid w:val="002D14B6"/>
    <w:rsid w:val="002D14BB"/>
    <w:rsid w:val="002D1F46"/>
    <w:rsid w:val="002D24B7"/>
    <w:rsid w:val="002D2715"/>
    <w:rsid w:val="002D28AD"/>
    <w:rsid w:val="002D355D"/>
    <w:rsid w:val="002D4BB9"/>
    <w:rsid w:val="002D53CD"/>
    <w:rsid w:val="002D546C"/>
    <w:rsid w:val="002D7417"/>
    <w:rsid w:val="002E063B"/>
    <w:rsid w:val="002E1006"/>
    <w:rsid w:val="002E10E4"/>
    <w:rsid w:val="002E240A"/>
    <w:rsid w:val="002E26B1"/>
    <w:rsid w:val="002E3A14"/>
    <w:rsid w:val="002E44D1"/>
    <w:rsid w:val="002E4CF4"/>
    <w:rsid w:val="002E5EC0"/>
    <w:rsid w:val="002E6810"/>
    <w:rsid w:val="002E7EDE"/>
    <w:rsid w:val="002F0339"/>
    <w:rsid w:val="002F0D0A"/>
    <w:rsid w:val="002F1D1D"/>
    <w:rsid w:val="002F1E23"/>
    <w:rsid w:val="002F35B7"/>
    <w:rsid w:val="002F3DE3"/>
    <w:rsid w:val="002F6933"/>
    <w:rsid w:val="002F7847"/>
    <w:rsid w:val="002F7968"/>
    <w:rsid w:val="00300480"/>
    <w:rsid w:val="00300F60"/>
    <w:rsid w:val="00301C52"/>
    <w:rsid w:val="00302103"/>
    <w:rsid w:val="00302C40"/>
    <w:rsid w:val="0030580D"/>
    <w:rsid w:val="003059D3"/>
    <w:rsid w:val="003061B3"/>
    <w:rsid w:val="003064F8"/>
    <w:rsid w:val="00306D2A"/>
    <w:rsid w:val="00307FB0"/>
    <w:rsid w:val="003100C7"/>
    <w:rsid w:val="0031099A"/>
    <w:rsid w:val="003114FD"/>
    <w:rsid w:val="00311B3C"/>
    <w:rsid w:val="00312A70"/>
    <w:rsid w:val="00312C6A"/>
    <w:rsid w:val="00313756"/>
    <w:rsid w:val="0031389A"/>
    <w:rsid w:val="003139E7"/>
    <w:rsid w:val="00313A9E"/>
    <w:rsid w:val="00313F10"/>
    <w:rsid w:val="00314617"/>
    <w:rsid w:val="00314E22"/>
    <w:rsid w:val="00315B39"/>
    <w:rsid w:val="00315C2B"/>
    <w:rsid w:val="00316864"/>
    <w:rsid w:val="00316927"/>
    <w:rsid w:val="00316B7A"/>
    <w:rsid w:val="00316CE6"/>
    <w:rsid w:val="0031761D"/>
    <w:rsid w:val="003176FB"/>
    <w:rsid w:val="00320553"/>
    <w:rsid w:val="00321A02"/>
    <w:rsid w:val="00321BD2"/>
    <w:rsid w:val="00321D26"/>
    <w:rsid w:val="003228FC"/>
    <w:rsid w:val="00323875"/>
    <w:rsid w:val="0032393A"/>
    <w:rsid w:val="00323AA2"/>
    <w:rsid w:val="00323F55"/>
    <w:rsid w:val="00325178"/>
    <w:rsid w:val="003252A6"/>
    <w:rsid w:val="00325549"/>
    <w:rsid w:val="00325EDE"/>
    <w:rsid w:val="00326EF8"/>
    <w:rsid w:val="00326FEE"/>
    <w:rsid w:val="00327131"/>
    <w:rsid w:val="00327973"/>
    <w:rsid w:val="003301F2"/>
    <w:rsid w:val="00330F19"/>
    <w:rsid w:val="00331199"/>
    <w:rsid w:val="0033270C"/>
    <w:rsid w:val="00332A1C"/>
    <w:rsid w:val="00333961"/>
    <w:rsid w:val="00333F83"/>
    <w:rsid w:val="0033401E"/>
    <w:rsid w:val="003346B1"/>
    <w:rsid w:val="00334C0F"/>
    <w:rsid w:val="00335916"/>
    <w:rsid w:val="00336399"/>
    <w:rsid w:val="00337382"/>
    <w:rsid w:val="003402A1"/>
    <w:rsid w:val="00341AB9"/>
    <w:rsid w:val="00341B42"/>
    <w:rsid w:val="00341C97"/>
    <w:rsid w:val="0034242E"/>
    <w:rsid w:val="00342608"/>
    <w:rsid w:val="00342F46"/>
    <w:rsid w:val="00342F93"/>
    <w:rsid w:val="00342FD3"/>
    <w:rsid w:val="00343104"/>
    <w:rsid w:val="003437EF"/>
    <w:rsid w:val="00344B52"/>
    <w:rsid w:val="00344EE1"/>
    <w:rsid w:val="00345112"/>
    <w:rsid w:val="00345DC6"/>
    <w:rsid w:val="0034605C"/>
    <w:rsid w:val="003469EC"/>
    <w:rsid w:val="00347832"/>
    <w:rsid w:val="00347A41"/>
    <w:rsid w:val="00347BE1"/>
    <w:rsid w:val="00350D86"/>
    <w:rsid w:val="00350E11"/>
    <w:rsid w:val="00351171"/>
    <w:rsid w:val="00351949"/>
    <w:rsid w:val="0035491E"/>
    <w:rsid w:val="003568A1"/>
    <w:rsid w:val="00356B97"/>
    <w:rsid w:val="00357548"/>
    <w:rsid w:val="003575D6"/>
    <w:rsid w:val="00360630"/>
    <w:rsid w:val="00360EAD"/>
    <w:rsid w:val="003610D5"/>
    <w:rsid w:val="003617B3"/>
    <w:rsid w:val="0036231D"/>
    <w:rsid w:val="003626E6"/>
    <w:rsid w:val="003627FE"/>
    <w:rsid w:val="003629CE"/>
    <w:rsid w:val="00362EBE"/>
    <w:rsid w:val="00362EE9"/>
    <w:rsid w:val="003639C2"/>
    <w:rsid w:val="00364709"/>
    <w:rsid w:val="003651C9"/>
    <w:rsid w:val="003655F2"/>
    <w:rsid w:val="003667A6"/>
    <w:rsid w:val="00366824"/>
    <w:rsid w:val="00367AB4"/>
    <w:rsid w:val="003700E1"/>
    <w:rsid w:val="003704FF"/>
    <w:rsid w:val="0037099D"/>
    <w:rsid w:val="00370C0A"/>
    <w:rsid w:val="00371D07"/>
    <w:rsid w:val="003725F8"/>
    <w:rsid w:val="0037363B"/>
    <w:rsid w:val="003742D6"/>
    <w:rsid w:val="00374C39"/>
    <w:rsid w:val="00374E8A"/>
    <w:rsid w:val="00375B92"/>
    <w:rsid w:val="003770D8"/>
    <w:rsid w:val="00377B75"/>
    <w:rsid w:val="00377BF3"/>
    <w:rsid w:val="00377EBD"/>
    <w:rsid w:val="00380232"/>
    <w:rsid w:val="003812E7"/>
    <w:rsid w:val="00381626"/>
    <w:rsid w:val="00381A5B"/>
    <w:rsid w:val="00382CF2"/>
    <w:rsid w:val="00382EB8"/>
    <w:rsid w:val="00382F7A"/>
    <w:rsid w:val="0038313B"/>
    <w:rsid w:val="00383185"/>
    <w:rsid w:val="00384330"/>
    <w:rsid w:val="003867CE"/>
    <w:rsid w:val="00386F83"/>
    <w:rsid w:val="0038732F"/>
    <w:rsid w:val="00387338"/>
    <w:rsid w:val="00390173"/>
    <w:rsid w:val="00390A9D"/>
    <w:rsid w:val="00390F9A"/>
    <w:rsid w:val="003928A3"/>
    <w:rsid w:val="003928EA"/>
    <w:rsid w:val="00393A76"/>
    <w:rsid w:val="00393C6D"/>
    <w:rsid w:val="00394BD9"/>
    <w:rsid w:val="0039741A"/>
    <w:rsid w:val="003974C8"/>
    <w:rsid w:val="00397A07"/>
    <w:rsid w:val="00397F47"/>
    <w:rsid w:val="003A04DC"/>
    <w:rsid w:val="003A19E1"/>
    <w:rsid w:val="003A1A7A"/>
    <w:rsid w:val="003A1B30"/>
    <w:rsid w:val="003A1C51"/>
    <w:rsid w:val="003A3ED9"/>
    <w:rsid w:val="003A424E"/>
    <w:rsid w:val="003A4D98"/>
    <w:rsid w:val="003A532E"/>
    <w:rsid w:val="003A5776"/>
    <w:rsid w:val="003A5AB8"/>
    <w:rsid w:val="003A667A"/>
    <w:rsid w:val="003A6E1F"/>
    <w:rsid w:val="003A6EEB"/>
    <w:rsid w:val="003A7D25"/>
    <w:rsid w:val="003B0016"/>
    <w:rsid w:val="003B0102"/>
    <w:rsid w:val="003B03B6"/>
    <w:rsid w:val="003B04C1"/>
    <w:rsid w:val="003B0E9E"/>
    <w:rsid w:val="003B11C6"/>
    <w:rsid w:val="003B12A9"/>
    <w:rsid w:val="003B2222"/>
    <w:rsid w:val="003B2E0E"/>
    <w:rsid w:val="003B3068"/>
    <w:rsid w:val="003B335A"/>
    <w:rsid w:val="003B5B98"/>
    <w:rsid w:val="003B5EA4"/>
    <w:rsid w:val="003B7845"/>
    <w:rsid w:val="003B7C14"/>
    <w:rsid w:val="003C3411"/>
    <w:rsid w:val="003C414E"/>
    <w:rsid w:val="003C4875"/>
    <w:rsid w:val="003C4EE2"/>
    <w:rsid w:val="003C62D8"/>
    <w:rsid w:val="003C6FFC"/>
    <w:rsid w:val="003C7F7A"/>
    <w:rsid w:val="003D0DE3"/>
    <w:rsid w:val="003D1C3E"/>
    <w:rsid w:val="003D27E7"/>
    <w:rsid w:val="003D2CA5"/>
    <w:rsid w:val="003D36A3"/>
    <w:rsid w:val="003D4656"/>
    <w:rsid w:val="003D4AAD"/>
    <w:rsid w:val="003D5FB8"/>
    <w:rsid w:val="003D703C"/>
    <w:rsid w:val="003D7973"/>
    <w:rsid w:val="003D7D2B"/>
    <w:rsid w:val="003E0160"/>
    <w:rsid w:val="003E09CF"/>
    <w:rsid w:val="003E0EF2"/>
    <w:rsid w:val="003E0F6A"/>
    <w:rsid w:val="003E13F7"/>
    <w:rsid w:val="003E1944"/>
    <w:rsid w:val="003E2A3A"/>
    <w:rsid w:val="003E33CD"/>
    <w:rsid w:val="003E3CA3"/>
    <w:rsid w:val="003E4157"/>
    <w:rsid w:val="003E4314"/>
    <w:rsid w:val="003E458A"/>
    <w:rsid w:val="003E4C0F"/>
    <w:rsid w:val="003E5955"/>
    <w:rsid w:val="003E6C85"/>
    <w:rsid w:val="003E6D67"/>
    <w:rsid w:val="003E71FE"/>
    <w:rsid w:val="003F0180"/>
    <w:rsid w:val="003F035B"/>
    <w:rsid w:val="003F18AB"/>
    <w:rsid w:val="003F1992"/>
    <w:rsid w:val="003F2017"/>
    <w:rsid w:val="003F3537"/>
    <w:rsid w:val="00400005"/>
    <w:rsid w:val="004007F0"/>
    <w:rsid w:val="0040094A"/>
    <w:rsid w:val="0040236C"/>
    <w:rsid w:val="0040472B"/>
    <w:rsid w:val="0040579D"/>
    <w:rsid w:val="00406760"/>
    <w:rsid w:val="00406976"/>
    <w:rsid w:val="0040770E"/>
    <w:rsid w:val="00407CFE"/>
    <w:rsid w:val="00410EA9"/>
    <w:rsid w:val="00411894"/>
    <w:rsid w:val="00412803"/>
    <w:rsid w:val="00412D89"/>
    <w:rsid w:val="0041390C"/>
    <w:rsid w:val="00413995"/>
    <w:rsid w:val="00413CB5"/>
    <w:rsid w:val="00414AA9"/>
    <w:rsid w:val="00414D2D"/>
    <w:rsid w:val="0041593F"/>
    <w:rsid w:val="00415F04"/>
    <w:rsid w:val="004162C2"/>
    <w:rsid w:val="00416B29"/>
    <w:rsid w:val="00417EC7"/>
    <w:rsid w:val="0042019F"/>
    <w:rsid w:val="00420224"/>
    <w:rsid w:val="00420336"/>
    <w:rsid w:val="00421FF0"/>
    <w:rsid w:val="00422850"/>
    <w:rsid w:val="00422C24"/>
    <w:rsid w:val="00422F1F"/>
    <w:rsid w:val="00423138"/>
    <w:rsid w:val="0042340E"/>
    <w:rsid w:val="00424C76"/>
    <w:rsid w:val="00424DEA"/>
    <w:rsid w:val="004255F7"/>
    <w:rsid w:val="004257FC"/>
    <w:rsid w:val="00425D9D"/>
    <w:rsid w:val="004272F9"/>
    <w:rsid w:val="004278F8"/>
    <w:rsid w:val="00427DA0"/>
    <w:rsid w:val="00430C8D"/>
    <w:rsid w:val="004310D4"/>
    <w:rsid w:val="00431905"/>
    <w:rsid w:val="0043247D"/>
    <w:rsid w:val="00433381"/>
    <w:rsid w:val="004333F1"/>
    <w:rsid w:val="00433712"/>
    <w:rsid w:val="00434212"/>
    <w:rsid w:val="0043671A"/>
    <w:rsid w:val="004377B4"/>
    <w:rsid w:val="00440045"/>
    <w:rsid w:val="004404EA"/>
    <w:rsid w:val="00440629"/>
    <w:rsid w:val="0044063E"/>
    <w:rsid w:val="004407E1"/>
    <w:rsid w:val="00440B6B"/>
    <w:rsid w:val="00441334"/>
    <w:rsid w:val="00441385"/>
    <w:rsid w:val="00441B4D"/>
    <w:rsid w:val="00441DF9"/>
    <w:rsid w:val="00442C34"/>
    <w:rsid w:val="00444B16"/>
    <w:rsid w:val="00444F29"/>
    <w:rsid w:val="00445924"/>
    <w:rsid w:val="00445B44"/>
    <w:rsid w:val="00446186"/>
    <w:rsid w:val="00446312"/>
    <w:rsid w:val="00446BD8"/>
    <w:rsid w:val="00447214"/>
    <w:rsid w:val="00450668"/>
    <w:rsid w:val="00450CE7"/>
    <w:rsid w:val="00451072"/>
    <w:rsid w:val="00452DB0"/>
    <w:rsid w:val="0045339B"/>
    <w:rsid w:val="0045398A"/>
    <w:rsid w:val="00454536"/>
    <w:rsid w:val="00454BEF"/>
    <w:rsid w:val="004555D6"/>
    <w:rsid w:val="004558FE"/>
    <w:rsid w:val="00456C46"/>
    <w:rsid w:val="00456F7A"/>
    <w:rsid w:val="0045721F"/>
    <w:rsid w:val="00457609"/>
    <w:rsid w:val="0046020A"/>
    <w:rsid w:val="00460F0D"/>
    <w:rsid w:val="004613AF"/>
    <w:rsid w:val="00461BE5"/>
    <w:rsid w:val="00461FD8"/>
    <w:rsid w:val="00462C07"/>
    <w:rsid w:val="00463982"/>
    <w:rsid w:val="00463DF1"/>
    <w:rsid w:val="00464177"/>
    <w:rsid w:val="00465CF5"/>
    <w:rsid w:val="00465EB7"/>
    <w:rsid w:val="00467EA7"/>
    <w:rsid w:val="0047000D"/>
    <w:rsid w:val="0047205F"/>
    <w:rsid w:val="004732ED"/>
    <w:rsid w:val="004737B1"/>
    <w:rsid w:val="004739BF"/>
    <w:rsid w:val="00473A05"/>
    <w:rsid w:val="00473DCC"/>
    <w:rsid w:val="00474387"/>
    <w:rsid w:val="004743C8"/>
    <w:rsid w:val="0047666D"/>
    <w:rsid w:val="00477449"/>
    <w:rsid w:val="004778E8"/>
    <w:rsid w:val="00477EBB"/>
    <w:rsid w:val="00480852"/>
    <w:rsid w:val="004819C3"/>
    <w:rsid w:val="00482877"/>
    <w:rsid w:val="00482995"/>
    <w:rsid w:val="00483067"/>
    <w:rsid w:val="00483251"/>
    <w:rsid w:val="00483345"/>
    <w:rsid w:val="004833EF"/>
    <w:rsid w:val="004833F9"/>
    <w:rsid w:val="00484D03"/>
    <w:rsid w:val="00484E99"/>
    <w:rsid w:val="0048543B"/>
    <w:rsid w:val="0048563E"/>
    <w:rsid w:val="00486207"/>
    <w:rsid w:val="0048621F"/>
    <w:rsid w:val="00486664"/>
    <w:rsid w:val="0048691C"/>
    <w:rsid w:val="00487139"/>
    <w:rsid w:val="00487508"/>
    <w:rsid w:val="004876AD"/>
    <w:rsid w:val="0048798E"/>
    <w:rsid w:val="00490018"/>
    <w:rsid w:val="00490587"/>
    <w:rsid w:val="0049162F"/>
    <w:rsid w:val="004918C9"/>
    <w:rsid w:val="00491FC1"/>
    <w:rsid w:val="00492A45"/>
    <w:rsid w:val="00494144"/>
    <w:rsid w:val="0049451F"/>
    <w:rsid w:val="00495052"/>
    <w:rsid w:val="004952C5"/>
    <w:rsid w:val="004952D2"/>
    <w:rsid w:val="004965F8"/>
    <w:rsid w:val="00496C1F"/>
    <w:rsid w:val="00496C3B"/>
    <w:rsid w:val="004972E7"/>
    <w:rsid w:val="00497E9F"/>
    <w:rsid w:val="004A0636"/>
    <w:rsid w:val="004A085E"/>
    <w:rsid w:val="004A1CCE"/>
    <w:rsid w:val="004A20DB"/>
    <w:rsid w:val="004A2704"/>
    <w:rsid w:val="004A29CA"/>
    <w:rsid w:val="004A2D5B"/>
    <w:rsid w:val="004A2E45"/>
    <w:rsid w:val="004A2F31"/>
    <w:rsid w:val="004A3338"/>
    <w:rsid w:val="004A460D"/>
    <w:rsid w:val="004A4641"/>
    <w:rsid w:val="004A4CD9"/>
    <w:rsid w:val="004A4DA4"/>
    <w:rsid w:val="004A5C2E"/>
    <w:rsid w:val="004A60EB"/>
    <w:rsid w:val="004A62BF"/>
    <w:rsid w:val="004A65A2"/>
    <w:rsid w:val="004A78FB"/>
    <w:rsid w:val="004B104B"/>
    <w:rsid w:val="004B1601"/>
    <w:rsid w:val="004B630B"/>
    <w:rsid w:val="004B6B82"/>
    <w:rsid w:val="004B6F1E"/>
    <w:rsid w:val="004C0253"/>
    <w:rsid w:val="004C0257"/>
    <w:rsid w:val="004C05FC"/>
    <w:rsid w:val="004C0B1A"/>
    <w:rsid w:val="004C22A3"/>
    <w:rsid w:val="004C3E1E"/>
    <w:rsid w:val="004C485E"/>
    <w:rsid w:val="004C4D01"/>
    <w:rsid w:val="004C62B9"/>
    <w:rsid w:val="004C6331"/>
    <w:rsid w:val="004C6373"/>
    <w:rsid w:val="004C65C9"/>
    <w:rsid w:val="004C73F2"/>
    <w:rsid w:val="004C75FF"/>
    <w:rsid w:val="004C7D91"/>
    <w:rsid w:val="004D23B2"/>
    <w:rsid w:val="004D2704"/>
    <w:rsid w:val="004D3991"/>
    <w:rsid w:val="004D473C"/>
    <w:rsid w:val="004D5321"/>
    <w:rsid w:val="004D560E"/>
    <w:rsid w:val="004D5F6D"/>
    <w:rsid w:val="004D7D7E"/>
    <w:rsid w:val="004E079E"/>
    <w:rsid w:val="004E10D9"/>
    <w:rsid w:val="004E14AC"/>
    <w:rsid w:val="004E3A64"/>
    <w:rsid w:val="004E3F93"/>
    <w:rsid w:val="004E45F5"/>
    <w:rsid w:val="004E4946"/>
    <w:rsid w:val="004E4D56"/>
    <w:rsid w:val="004E4EE0"/>
    <w:rsid w:val="004E4F73"/>
    <w:rsid w:val="004E60AA"/>
    <w:rsid w:val="004E6207"/>
    <w:rsid w:val="004E6A08"/>
    <w:rsid w:val="004E7379"/>
    <w:rsid w:val="004F0642"/>
    <w:rsid w:val="004F0F86"/>
    <w:rsid w:val="004F1255"/>
    <w:rsid w:val="004F180B"/>
    <w:rsid w:val="004F20ED"/>
    <w:rsid w:val="004F2D1A"/>
    <w:rsid w:val="004F340A"/>
    <w:rsid w:val="004F365B"/>
    <w:rsid w:val="004F3AD0"/>
    <w:rsid w:val="004F3B3E"/>
    <w:rsid w:val="004F4AE0"/>
    <w:rsid w:val="004F4DCE"/>
    <w:rsid w:val="004F51DC"/>
    <w:rsid w:val="004F6116"/>
    <w:rsid w:val="004F651C"/>
    <w:rsid w:val="004F68CF"/>
    <w:rsid w:val="004F6969"/>
    <w:rsid w:val="004F7005"/>
    <w:rsid w:val="004F70CB"/>
    <w:rsid w:val="004F7162"/>
    <w:rsid w:val="004F7A34"/>
    <w:rsid w:val="004F7BE6"/>
    <w:rsid w:val="0050101A"/>
    <w:rsid w:val="00501B1D"/>
    <w:rsid w:val="00501CB2"/>
    <w:rsid w:val="00501D1C"/>
    <w:rsid w:val="00501E7B"/>
    <w:rsid w:val="005021AB"/>
    <w:rsid w:val="005025E8"/>
    <w:rsid w:val="00502F0E"/>
    <w:rsid w:val="00503DD5"/>
    <w:rsid w:val="00504BD4"/>
    <w:rsid w:val="00504C3C"/>
    <w:rsid w:val="005053D5"/>
    <w:rsid w:val="0050678A"/>
    <w:rsid w:val="00507FD4"/>
    <w:rsid w:val="00510F40"/>
    <w:rsid w:val="0051167E"/>
    <w:rsid w:val="00512A7A"/>
    <w:rsid w:val="00512BB1"/>
    <w:rsid w:val="00512BC3"/>
    <w:rsid w:val="00513E48"/>
    <w:rsid w:val="005144B1"/>
    <w:rsid w:val="0051527F"/>
    <w:rsid w:val="005172B4"/>
    <w:rsid w:val="00517910"/>
    <w:rsid w:val="00517A6C"/>
    <w:rsid w:val="00517F2B"/>
    <w:rsid w:val="00517FEC"/>
    <w:rsid w:val="0052075F"/>
    <w:rsid w:val="00521C82"/>
    <w:rsid w:val="00522163"/>
    <w:rsid w:val="00522A9E"/>
    <w:rsid w:val="00522E99"/>
    <w:rsid w:val="0052327E"/>
    <w:rsid w:val="00523DA0"/>
    <w:rsid w:val="005248BA"/>
    <w:rsid w:val="00524B61"/>
    <w:rsid w:val="0052543A"/>
    <w:rsid w:val="00525624"/>
    <w:rsid w:val="00525B89"/>
    <w:rsid w:val="00526498"/>
    <w:rsid w:val="005268EC"/>
    <w:rsid w:val="005278F8"/>
    <w:rsid w:val="005311B4"/>
    <w:rsid w:val="00531735"/>
    <w:rsid w:val="005318C6"/>
    <w:rsid w:val="00531CEE"/>
    <w:rsid w:val="00532324"/>
    <w:rsid w:val="005326E5"/>
    <w:rsid w:val="00532D48"/>
    <w:rsid w:val="005332D4"/>
    <w:rsid w:val="00533444"/>
    <w:rsid w:val="00533585"/>
    <w:rsid w:val="005342B2"/>
    <w:rsid w:val="00535041"/>
    <w:rsid w:val="0053552B"/>
    <w:rsid w:val="0053560D"/>
    <w:rsid w:val="005358BC"/>
    <w:rsid w:val="00535C0A"/>
    <w:rsid w:val="0053657D"/>
    <w:rsid w:val="00537208"/>
    <w:rsid w:val="00540123"/>
    <w:rsid w:val="00542E3F"/>
    <w:rsid w:val="005433D5"/>
    <w:rsid w:val="0054453E"/>
    <w:rsid w:val="0054649D"/>
    <w:rsid w:val="0054722B"/>
    <w:rsid w:val="00547BE2"/>
    <w:rsid w:val="0055072F"/>
    <w:rsid w:val="00551D0F"/>
    <w:rsid w:val="0055240B"/>
    <w:rsid w:val="005525E0"/>
    <w:rsid w:val="00553B25"/>
    <w:rsid w:val="0055439A"/>
    <w:rsid w:val="00554673"/>
    <w:rsid w:val="00554AF0"/>
    <w:rsid w:val="00555467"/>
    <w:rsid w:val="00555C89"/>
    <w:rsid w:val="005562D8"/>
    <w:rsid w:val="00556E7F"/>
    <w:rsid w:val="00556F0E"/>
    <w:rsid w:val="00557921"/>
    <w:rsid w:val="005603C9"/>
    <w:rsid w:val="00560E26"/>
    <w:rsid w:val="00561D2C"/>
    <w:rsid w:val="005622F0"/>
    <w:rsid w:val="005623B2"/>
    <w:rsid w:val="00563DBF"/>
    <w:rsid w:val="0056581A"/>
    <w:rsid w:val="00565C91"/>
    <w:rsid w:val="00565C9B"/>
    <w:rsid w:val="00565E9A"/>
    <w:rsid w:val="00566224"/>
    <w:rsid w:val="00566BA0"/>
    <w:rsid w:val="00567328"/>
    <w:rsid w:val="00567A1B"/>
    <w:rsid w:val="00567E1D"/>
    <w:rsid w:val="00570EE0"/>
    <w:rsid w:val="00571FBF"/>
    <w:rsid w:val="00572314"/>
    <w:rsid w:val="0057328D"/>
    <w:rsid w:val="005743B2"/>
    <w:rsid w:val="005743F1"/>
    <w:rsid w:val="00574A77"/>
    <w:rsid w:val="00575498"/>
    <w:rsid w:val="00575C28"/>
    <w:rsid w:val="0057680F"/>
    <w:rsid w:val="0057765B"/>
    <w:rsid w:val="00577FA5"/>
    <w:rsid w:val="0058123F"/>
    <w:rsid w:val="005813C0"/>
    <w:rsid w:val="00581E9E"/>
    <w:rsid w:val="005823DA"/>
    <w:rsid w:val="005826D4"/>
    <w:rsid w:val="00582789"/>
    <w:rsid w:val="00582B70"/>
    <w:rsid w:val="00582E14"/>
    <w:rsid w:val="00583B8A"/>
    <w:rsid w:val="00584111"/>
    <w:rsid w:val="0058497D"/>
    <w:rsid w:val="00584F6E"/>
    <w:rsid w:val="005861BD"/>
    <w:rsid w:val="00587BA8"/>
    <w:rsid w:val="0059195B"/>
    <w:rsid w:val="00591A91"/>
    <w:rsid w:val="00592FD7"/>
    <w:rsid w:val="0059314E"/>
    <w:rsid w:val="00593284"/>
    <w:rsid w:val="005933FB"/>
    <w:rsid w:val="005957B0"/>
    <w:rsid w:val="005958ED"/>
    <w:rsid w:val="00595D50"/>
    <w:rsid w:val="00596909"/>
    <w:rsid w:val="00597067"/>
    <w:rsid w:val="00597A86"/>
    <w:rsid w:val="00597FC7"/>
    <w:rsid w:val="005A01AD"/>
    <w:rsid w:val="005A105E"/>
    <w:rsid w:val="005A10B2"/>
    <w:rsid w:val="005A1216"/>
    <w:rsid w:val="005A2F32"/>
    <w:rsid w:val="005A2F97"/>
    <w:rsid w:val="005A341A"/>
    <w:rsid w:val="005A34C4"/>
    <w:rsid w:val="005A38EF"/>
    <w:rsid w:val="005A3962"/>
    <w:rsid w:val="005A3E3B"/>
    <w:rsid w:val="005A455D"/>
    <w:rsid w:val="005A4EA6"/>
    <w:rsid w:val="005A56A0"/>
    <w:rsid w:val="005A5B04"/>
    <w:rsid w:val="005A63ED"/>
    <w:rsid w:val="005A77F5"/>
    <w:rsid w:val="005A7813"/>
    <w:rsid w:val="005B1A0B"/>
    <w:rsid w:val="005B2B83"/>
    <w:rsid w:val="005B3FEE"/>
    <w:rsid w:val="005B482F"/>
    <w:rsid w:val="005B48F9"/>
    <w:rsid w:val="005B4F35"/>
    <w:rsid w:val="005B5A94"/>
    <w:rsid w:val="005B5B2A"/>
    <w:rsid w:val="005B7A0B"/>
    <w:rsid w:val="005B7AD2"/>
    <w:rsid w:val="005C02C8"/>
    <w:rsid w:val="005C094F"/>
    <w:rsid w:val="005C0FA4"/>
    <w:rsid w:val="005C1D98"/>
    <w:rsid w:val="005C2E19"/>
    <w:rsid w:val="005C3337"/>
    <w:rsid w:val="005C3829"/>
    <w:rsid w:val="005C4F48"/>
    <w:rsid w:val="005C56F8"/>
    <w:rsid w:val="005C5A5D"/>
    <w:rsid w:val="005C606F"/>
    <w:rsid w:val="005C6C08"/>
    <w:rsid w:val="005C77DE"/>
    <w:rsid w:val="005D06D2"/>
    <w:rsid w:val="005D12CA"/>
    <w:rsid w:val="005D1A71"/>
    <w:rsid w:val="005D23C0"/>
    <w:rsid w:val="005D2B73"/>
    <w:rsid w:val="005D3463"/>
    <w:rsid w:val="005D4C6D"/>
    <w:rsid w:val="005D5806"/>
    <w:rsid w:val="005D58AC"/>
    <w:rsid w:val="005D70A3"/>
    <w:rsid w:val="005D744E"/>
    <w:rsid w:val="005E0280"/>
    <w:rsid w:val="005E05FB"/>
    <w:rsid w:val="005E09D9"/>
    <w:rsid w:val="005E1090"/>
    <w:rsid w:val="005E2D40"/>
    <w:rsid w:val="005E32CB"/>
    <w:rsid w:val="005E4D64"/>
    <w:rsid w:val="005E51B9"/>
    <w:rsid w:val="005E5DAC"/>
    <w:rsid w:val="005E6136"/>
    <w:rsid w:val="005E6467"/>
    <w:rsid w:val="005E6757"/>
    <w:rsid w:val="005E68C0"/>
    <w:rsid w:val="005E73EF"/>
    <w:rsid w:val="005E7BD1"/>
    <w:rsid w:val="005F0263"/>
    <w:rsid w:val="005F0399"/>
    <w:rsid w:val="005F0D7F"/>
    <w:rsid w:val="005F1E2E"/>
    <w:rsid w:val="005F3FED"/>
    <w:rsid w:val="005F4C82"/>
    <w:rsid w:val="005F5AAD"/>
    <w:rsid w:val="005F68DE"/>
    <w:rsid w:val="005F7212"/>
    <w:rsid w:val="005F7BAC"/>
    <w:rsid w:val="00600AFD"/>
    <w:rsid w:val="00601812"/>
    <w:rsid w:val="00602CE1"/>
    <w:rsid w:val="006041C0"/>
    <w:rsid w:val="00604358"/>
    <w:rsid w:val="006051FA"/>
    <w:rsid w:val="0060615B"/>
    <w:rsid w:val="00606C49"/>
    <w:rsid w:val="00606E08"/>
    <w:rsid w:val="00607E9E"/>
    <w:rsid w:val="00607F34"/>
    <w:rsid w:val="006100DF"/>
    <w:rsid w:val="006102CE"/>
    <w:rsid w:val="00610F5F"/>
    <w:rsid w:val="00611435"/>
    <w:rsid w:val="006117FC"/>
    <w:rsid w:val="006120BC"/>
    <w:rsid w:val="006129E9"/>
    <w:rsid w:val="00613380"/>
    <w:rsid w:val="00613B57"/>
    <w:rsid w:val="0061415B"/>
    <w:rsid w:val="0061475C"/>
    <w:rsid w:val="0061522D"/>
    <w:rsid w:val="00615C8B"/>
    <w:rsid w:val="0061650B"/>
    <w:rsid w:val="0061685E"/>
    <w:rsid w:val="006168D4"/>
    <w:rsid w:val="00616A5D"/>
    <w:rsid w:val="00616F1B"/>
    <w:rsid w:val="00617DCE"/>
    <w:rsid w:val="006201CF"/>
    <w:rsid w:val="006204C4"/>
    <w:rsid w:val="00620EE1"/>
    <w:rsid w:val="0062263D"/>
    <w:rsid w:val="00622BF7"/>
    <w:rsid w:val="006232D6"/>
    <w:rsid w:val="00624582"/>
    <w:rsid w:val="00624819"/>
    <w:rsid w:val="00624A66"/>
    <w:rsid w:val="00624DF8"/>
    <w:rsid w:val="00625A51"/>
    <w:rsid w:val="00626521"/>
    <w:rsid w:val="0062785F"/>
    <w:rsid w:val="00630AAF"/>
    <w:rsid w:val="0063126D"/>
    <w:rsid w:val="00631548"/>
    <w:rsid w:val="00631876"/>
    <w:rsid w:val="00631DAA"/>
    <w:rsid w:val="00632306"/>
    <w:rsid w:val="006334F9"/>
    <w:rsid w:val="00633BDA"/>
    <w:rsid w:val="00633C3B"/>
    <w:rsid w:val="00635CE2"/>
    <w:rsid w:val="0063628A"/>
    <w:rsid w:val="0063654C"/>
    <w:rsid w:val="00637379"/>
    <w:rsid w:val="0063772A"/>
    <w:rsid w:val="00637A37"/>
    <w:rsid w:val="00641C96"/>
    <w:rsid w:val="00641F6E"/>
    <w:rsid w:val="0064230D"/>
    <w:rsid w:val="0064404B"/>
    <w:rsid w:val="0064423E"/>
    <w:rsid w:val="00644D10"/>
    <w:rsid w:val="00645FD4"/>
    <w:rsid w:val="00647170"/>
    <w:rsid w:val="00647BD8"/>
    <w:rsid w:val="0065013B"/>
    <w:rsid w:val="006513B5"/>
    <w:rsid w:val="00651A9C"/>
    <w:rsid w:val="0065444C"/>
    <w:rsid w:val="006546AA"/>
    <w:rsid w:val="006548D0"/>
    <w:rsid w:val="00654C03"/>
    <w:rsid w:val="0065560C"/>
    <w:rsid w:val="00655910"/>
    <w:rsid w:val="00655EE3"/>
    <w:rsid w:val="0065607A"/>
    <w:rsid w:val="00656207"/>
    <w:rsid w:val="00660FFC"/>
    <w:rsid w:val="0066167B"/>
    <w:rsid w:val="006618E2"/>
    <w:rsid w:val="00661B81"/>
    <w:rsid w:val="00661C04"/>
    <w:rsid w:val="00661ED3"/>
    <w:rsid w:val="00661F37"/>
    <w:rsid w:val="00662247"/>
    <w:rsid w:val="0066259C"/>
    <w:rsid w:val="006627C8"/>
    <w:rsid w:val="00663ED2"/>
    <w:rsid w:val="00664272"/>
    <w:rsid w:val="0066620C"/>
    <w:rsid w:val="00666297"/>
    <w:rsid w:val="0066645F"/>
    <w:rsid w:val="0066680C"/>
    <w:rsid w:val="00667E29"/>
    <w:rsid w:val="0067104C"/>
    <w:rsid w:val="0067135F"/>
    <w:rsid w:val="00671DBE"/>
    <w:rsid w:val="00672DAB"/>
    <w:rsid w:val="00673942"/>
    <w:rsid w:val="00673A01"/>
    <w:rsid w:val="006748B3"/>
    <w:rsid w:val="00674E3C"/>
    <w:rsid w:val="00675030"/>
    <w:rsid w:val="006753D8"/>
    <w:rsid w:val="00675E5B"/>
    <w:rsid w:val="0067622C"/>
    <w:rsid w:val="006801CC"/>
    <w:rsid w:val="00680F14"/>
    <w:rsid w:val="00681420"/>
    <w:rsid w:val="00681665"/>
    <w:rsid w:val="00681C36"/>
    <w:rsid w:val="00682EFA"/>
    <w:rsid w:val="00682F4C"/>
    <w:rsid w:val="00683561"/>
    <w:rsid w:val="00683C8E"/>
    <w:rsid w:val="00684FED"/>
    <w:rsid w:val="0068667D"/>
    <w:rsid w:val="006869C8"/>
    <w:rsid w:val="00687D78"/>
    <w:rsid w:val="00687E5A"/>
    <w:rsid w:val="00687ED7"/>
    <w:rsid w:val="0069105F"/>
    <w:rsid w:val="00691EC2"/>
    <w:rsid w:val="00692094"/>
    <w:rsid w:val="00692C8C"/>
    <w:rsid w:val="006937C8"/>
    <w:rsid w:val="006944C3"/>
    <w:rsid w:val="006947F0"/>
    <w:rsid w:val="00694D52"/>
    <w:rsid w:val="00694DCE"/>
    <w:rsid w:val="00695C5B"/>
    <w:rsid w:val="00696729"/>
    <w:rsid w:val="00697175"/>
    <w:rsid w:val="00697729"/>
    <w:rsid w:val="006A13D8"/>
    <w:rsid w:val="006A1D3F"/>
    <w:rsid w:val="006A2195"/>
    <w:rsid w:val="006A2FA0"/>
    <w:rsid w:val="006A318D"/>
    <w:rsid w:val="006A347B"/>
    <w:rsid w:val="006A3E74"/>
    <w:rsid w:val="006A5934"/>
    <w:rsid w:val="006A6953"/>
    <w:rsid w:val="006A7542"/>
    <w:rsid w:val="006A7675"/>
    <w:rsid w:val="006B02CA"/>
    <w:rsid w:val="006B03C4"/>
    <w:rsid w:val="006B0F07"/>
    <w:rsid w:val="006B11C4"/>
    <w:rsid w:val="006B18A9"/>
    <w:rsid w:val="006B1E1C"/>
    <w:rsid w:val="006B306C"/>
    <w:rsid w:val="006B307D"/>
    <w:rsid w:val="006B34E2"/>
    <w:rsid w:val="006B3E25"/>
    <w:rsid w:val="006B4C28"/>
    <w:rsid w:val="006B5B2E"/>
    <w:rsid w:val="006B622B"/>
    <w:rsid w:val="006B664D"/>
    <w:rsid w:val="006B6B6B"/>
    <w:rsid w:val="006B7448"/>
    <w:rsid w:val="006B7D37"/>
    <w:rsid w:val="006C0B4B"/>
    <w:rsid w:val="006C123B"/>
    <w:rsid w:val="006C1A72"/>
    <w:rsid w:val="006C1EBC"/>
    <w:rsid w:val="006C2531"/>
    <w:rsid w:val="006C2854"/>
    <w:rsid w:val="006C39C5"/>
    <w:rsid w:val="006C4E8B"/>
    <w:rsid w:val="006C5021"/>
    <w:rsid w:val="006C5AAF"/>
    <w:rsid w:val="006C5B1A"/>
    <w:rsid w:val="006C63E4"/>
    <w:rsid w:val="006C7523"/>
    <w:rsid w:val="006C7CF1"/>
    <w:rsid w:val="006D0403"/>
    <w:rsid w:val="006D0EDC"/>
    <w:rsid w:val="006D10B9"/>
    <w:rsid w:val="006D1114"/>
    <w:rsid w:val="006D1E9A"/>
    <w:rsid w:val="006D3268"/>
    <w:rsid w:val="006D3758"/>
    <w:rsid w:val="006D3DE4"/>
    <w:rsid w:val="006D702D"/>
    <w:rsid w:val="006D7E90"/>
    <w:rsid w:val="006D7F37"/>
    <w:rsid w:val="006E0647"/>
    <w:rsid w:val="006E1B4E"/>
    <w:rsid w:val="006E261B"/>
    <w:rsid w:val="006E2657"/>
    <w:rsid w:val="006E35DA"/>
    <w:rsid w:val="006E6279"/>
    <w:rsid w:val="006E6FBF"/>
    <w:rsid w:val="006E7F23"/>
    <w:rsid w:val="006F0925"/>
    <w:rsid w:val="006F1040"/>
    <w:rsid w:val="006F1390"/>
    <w:rsid w:val="006F1925"/>
    <w:rsid w:val="006F2A73"/>
    <w:rsid w:val="006F36A7"/>
    <w:rsid w:val="006F3808"/>
    <w:rsid w:val="006F3938"/>
    <w:rsid w:val="006F5821"/>
    <w:rsid w:val="006F6CD6"/>
    <w:rsid w:val="006F7133"/>
    <w:rsid w:val="006F7368"/>
    <w:rsid w:val="006F76F6"/>
    <w:rsid w:val="006F7C44"/>
    <w:rsid w:val="0070025B"/>
    <w:rsid w:val="0070035F"/>
    <w:rsid w:val="00700EF6"/>
    <w:rsid w:val="00702126"/>
    <w:rsid w:val="007024A7"/>
    <w:rsid w:val="00702AC8"/>
    <w:rsid w:val="007043F9"/>
    <w:rsid w:val="00704A07"/>
    <w:rsid w:val="0070612B"/>
    <w:rsid w:val="00706BFE"/>
    <w:rsid w:val="00707209"/>
    <w:rsid w:val="00707DA2"/>
    <w:rsid w:val="007101AF"/>
    <w:rsid w:val="007115EF"/>
    <w:rsid w:val="0071169E"/>
    <w:rsid w:val="00711F35"/>
    <w:rsid w:val="007121A2"/>
    <w:rsid w:val="00712DCC"/>
    <w:rsid w:val="00712EA0"/>
    <w:rsid w:val="00713273"/>
    <w:rsid w:val="0071342F"/>
    <w:rsid w:val="007134C1"/>
    <w:rsid w:val="00714233"/>
    <w:rsid w:val="00714E5C"/>
    <w:rsid w:val="007152C9"/>
    <w:rsid w:val="00715F17"/>
    <w:rsid w:val="0071607E"/>
    <w:rsid w:val="007173E1"/>
    <w:rsid w:val="00717FC5"/>
    <w:rsid w:val="0072082D"/>
    <w:rsid w:val="00720A1A"/>
    <w:rsid w:val="0072119A"/>
    <w:rsid w:val="007215AC"/>
    <w:rsid w:val="00721F5E"/>
    <w:rsid w:val="00723019"/>
    <w:rsid w:val="0072329D"/>
    <w:rsid w:val="007234AB"/>
    <w:rsid w:val="0072361A"/>
    <w:rsid w:val="00724103"/>
    <w:rsid w:val="00724532"/>
    <w:rsid w:val="00724C4C"/>
    <w:rsid w:val="00724E4E"/>
    <w:rsid w:val="0072519C"/>
    <w:rsid w:val="00725A34"/>
    <w:rsid w:val="00726EC2"/>
    <w:rsid w:val="007270E0"/>
    <w:rsid w:val="00727460"/>
    <w:rsid w:val="00727ED1"/>
    <w:rsid w:val="007308D3"/>
    <w:rsid w:val="00730945"/>
    <w:rsid w:val="00731318"/>
    <w:rsid w:val="00731452"/>
    <w:rsid w:val="00731ED6"/>
    <w:rsid w:val="00733AF5"/>
    <w:rsid w:val="00734CA5"/>
    <w:rsid w:val="00734DD4"/>
    <w:rsid w:val="0073560E"/>
    <w:rsid w:val="00736421"/>
    <w:rsid w:val="00736778"/>
    <w:rsid w:val="007408B5"/>
    <w:rsid w:val="0074134F"/>
    <w:rsid w:val="007413A9"/>
    <w:rsid w:val="00744890"/>
    <w:rsid w:val="00744CDC"/>
    <w:rsid w:val="00744F9B"/>
    <w:rsid w:val="00745A06"/>
    <w:rsid w:val="007466D0"/>
    <w:rsid w:val="00746B36"/>
    <w:rsid w:val="00747609"/>
    <w:rsid w:val="00747841"/>
    <w:rsid w:val="00747CBB"/>
    <w:rsid w:val="00747F92"/>
    <w:rsid w:val="0075176A"/>
    <w:rsid w:val="00751BCE"/>
    <w:rsid w:val="00751BD4"/>
    <w:rsid w:val="00751EB1"/>
    <w:rsid w:val="007521E1"/>
    <w:rsid w:val="00752915"/>
    <w:rsid w:val="007533B1"/>
    <w:rsid w:val="0075365C"/>
    <w:rsid w:val="00753BCE"/>
    <w:rsid w:val="00754508"/>
    <w:rsid w:val="00755712"/>
    <w:rsid w:val="00755D52"/>
    <w:rsid w:val="00755D92"/>
    <w:rsid w:val="00755E12"/>
    <w:rsid w:val="00755E90"/>
    <w:rsid w:val="007565F9"/>
    <w:rsid w:val="00756B6B"/>
    <w:rsid w:val="00756EC5"/>
    <w:rsid w:val="00756EE0"/>
    <w:rsid w:val="00757304"/>
    <w:rsid w:val="007576B9"/>
    <w:rsid w:val="00757F80"/>
    <w:rsid w:val="00757F90"/>
    <w:rsid w:val="007610BE"/>
    <w:rsid w:val="00761B0F"/>
    <w:rsid w:val="00761CC4"/>
    <w:rsid w:val="00762DBF"/>
    <w:rsid w:val="00762F52"/>
    <w:rsid w:val="00764491"/>
    <w:rsid w:val="00764C73"/>
    <w:rsid w:val="00765664"/>
    <w:rsid w:val="007657EE"/>
    <w:rsid w:val="007658F3"/>
    <w:rsid w:val="00765F2E"/>
    <w:rsid w:val="00767653"/>
    <w:rsid w:val="00767C39"/>
    <w:rsid w:val="007712BB"/>
    <w:rsid w:val="0077271E"/>
    <w:rsid w:val="00772BE3"/>
    <w:rsid w:val="00772C7F"/>
    <w:rsid w:val="00772C8E"/>
    <w:rsid w:val="00772E97"/>
    <w:rsid w:val="00773624"/>
    <w:rsid w:val="00773B45"/>
    <w:rsid w:val="0077457C"/>
    <w:rsid w:val="007749B8"/>
    <w:rsid w:val="00774DCA"/>
    <w:rsid w:val="007765ED"/>
    <w:rsid w:val="00777524"/>
    <w:rsid w:val="007778A9"/>
    <w:rsid w:val="00777DE4"/>
    <w:rsid w:val="007807C9"/>
    <w:rsid w:val="007813C4"/>
    <w:rsid w:val="007813F1"/>
    <w:rsid w:val="00781DA9"/>
    <w:rsid w:val="00782120"/>
    <w:rsid w:val="0078350E"/>
    <w:rsid w:val="00783AFC"/>
    <w:rsid w:val="00783CC1"/>
    <w:rsid w:val="0078468A"/>
    <w:rsid w:val="00784748"/>
    <w:rsid w:val="00784A12"/>
    <w:rsid w:val="00784ED0"/>
    <w:rsid w:val="00785F75"/>
    <w:rsid w:val="007866E3"/>
    <w:rsid w:val="00787F18"/>
    <w:rsid w:val="00790061"/>
    <w:rsid w:val="00790715"/>
    <w:rsid w:val="007911E0"/>
    <w:rsid w:val="00791E45"/>
    <w:rsid w:val="00792D5B"/>
    <w:rsid w:val="007935B8"/>
    <w:rsid w:val="00793E38"/>
    <w:rsid w:val="007942A3"/>
    <w:rsid w:val="007946A2"/>
    <w:rsid w:val="0079475D"/>
    <w:rsid w:val="00794916"/>
    <w:rsid w:val="00794A6A"/>
    <w:rsid w:val="00795A6F"/>
    <w:rsid w:val="00797F4C"/>
    <w:rsid w:val="007A03FE"/>
    <w:rsid w:val="007A049F"/>
    <w:rsid w:val="007A0C1D"/>
    <w:rsid w:val="007A1672"/>
    <w:rsid w:val="007A1EA6"/>
    <w:rsid w:val="007A2F0C"/>
    <w:rsid w:val="007A4135"/>
    <w:rsid w:val="007A512F"/>
    <w:rsid w:val="007A52D0"/>
    <w:rsid w:val="007A5850"/>
    <w:rsid w:val="007A5B67"/>
    <w:rsid w:val="007A6D6C"/>
    <w:rsid w:val="007A75B8"/>
    <w:rsid w:val="007A7BCB"/>
    <w:rsid w:val="007A7E49"/>
    <w:rsid w:val="007B117D"/>
    <w:rsid w:val="007B1710"/>
    <w:rsid w:val="007B2929"/>
    <w:rsid w:val="007B3BF1"/>
    <w:rsid w:val="007B421E"/>
    <w:rsid w:val="007B47A1"/>
    <w:rsid w:val="007B47FB"/>
    <w:rsid w:val="007B5081"/>
    <w:rsid w:val="007B50FD"/>
    <w:rsid w:val="007B52F9"/>
    <w:rsid w:val="007B6A4B"/>
    <w:rsid w:val="007B6F9A"/>
    <w:rsid w:val="007B712D"/>
    <w:rsid w:val="007C204D"/>
    <w:rsid w:val="007C2295"/>
    <w:rsid w:val="007C2647"/>
    <w:rsid w:val="007C3A26"/>
    <w:rsid w:val="007C4578"/>
    <w:rsid w:val="007C4D3A"/>
    <w:rsid w:val="007C5CAA"/>
    <w:rsid w:val="007C6B3C"/>
    <w:rsid w:val="007C7613"/>
    <w:rsid w:val="007C785B"/>
    <w:rsid w:val="007C7C0F"/>
    <w:rsid w:val="007C7C93"/>
    <w:rsid w:val="007D003D"/>
    <w:rsid w:val="007D1744"/>
    <w:rsid w:val="007D228B"/>
    <w:rsid w:val="007D2C08"/>
    <w:rsid w:val="007D4229"/>
    <w:rsid w:val="007D64F7"/>
    <w:rsid w:val="007D7357"/>
    <w:rsid w:val="007D7DFC"/>
    <w:rsid w:val="007E0106"/>
    <w:rsid w:val="007E06A2"/>
    <w:rsid w:val="007E0CBD"/>
    <w:rsid w:val="007E0CEC"/>
    <w:rsid w:val="007E0DBD"/>
    <w:rsid w:val="007E159B"/>
    <w:rsid w:val="007E17E2"/>
    <w:rsid w:val="007E1A9A"/>
    <w:rsid w:val="007E1CB8"/>
    <w:rsid w:val="007E1EB6"/>
    <w:rsid w:val="007E21AE"/>
    <w:rsid w:val="007E2480"/>
    <w:rsid w:val="007E319F"/>
    <w:rsid w:val="007E35C3"/>
    <w:rsid w:val="007E3A88"/>
    <w:rsid w:val="007E4E08"/>
    <w:rsid w:val="007E511D"/>
    <w:rsid w:val="007E595C"/>
    <w:rsid w:val="007E6408"/>
    <w:rsid w:val="007E6E86"/>
    <w:rsid w:val="007E6F4A"/>
    <w:rsid w:val="007E6F7B"/>
    <w:rsid w:val="007E7193"/>
    <w:rsid w:val="007E7259"/>
    <w:rsid w:val="007E7979"/>
    <w:rsid w:val="007F0BAC"/>
    <w:rsid w:val="007F0E78"/>
    <w:rsid w:val="007F1024"/>
    <w:rsid w:val="007F136C"/>
    <w:rsid w:val="007F15CB"/>
    <w:rsid w:val="007F27C6"/>
    <w:rsid w:val="007F2DF7"/>
    <w:rsid w:val="007F4523"/>
    <w:rsid w:val="007F4B87"/>
    <w:rsid w:val="007F4E0B"/>
    <w:rsid w:val="007F4F99"/>
    <w:rsid w:val="007F533E"/>
    <w:rsid w:val="007F7B6E"/>
    <w:rsid w:val="00800F68"/>
    <w:rsid w:val="00801E5E"/>
    <w:rsid w:val="0080229D"/>
    <w:rsid w:val="0080296B"/>
    <w:rsid w:val="00802CCB"/>
    <w:rsid w:val="0080388D"/>
    <w:rsid w:val="00803F14"/>
    <w:rsid w:val="00805EFF"/>
    <w:rsid w:val="00806095"/>
    <w:rsid w:val="0080694B"/>
    <w:rsid w:val="008074D8"/>
    <w:rsid w:val="00807902"/>
    <w:rsid w:val="00807957"/>
    <w:rsid w:val="008105D9"/>
    <w:rsid w:val="00811C90"/>
    <w:rsid w:val="00812359"/>
    <w:rsid w:val="008131E3"/>
    <w:rsid w:val="008133D1"/>
    <w:rsid w:val="008133DB"/>
    <w:rsid w:val="008152E2"/>
    <w:rsid w:val="00815D28"/>
    <w:rsid w:val="00815E2B"/>
    <w:rsid w:val="0081799C"/>
    <w:rsid w:val="00817E68"/>
    <w:rsid w:val="00817E83"/>
    <w:rsid w:val="00820691"/>
    <w:rsid w:val="00821C6C"/>
    <w:rsid w:val="008220F0"/>
    <w:rsid w:val="008227AB"/>
    <w:rsid w:val="008236DD"/>
    <w:rsid w:val="00823C00"/>
    <w:rsid w:val="00823DE3"/>
    <w:rsid w:val="00824127"/>
    <w:rsid w:val="00824224"/>
    <w:rsid w:val="008247C2"/>
    <w:rsid w:val="00824B59"/>
    <w:rsid w:val="00824FD0"/>
    <w:rsid w:val="008267F5"/>
    <w:rsid w:val="008300B6"/>
    <w:rsid w:val="0083043B"/>
    <w:rsid w:val="00830770"/>
    <w:rsid w:val="00830DE2"/>
    <w:rsid w:val="00830EE5"/>
    <w:rsid w:val="00833660"/>
    <w:rsid w:val="00833705"/>
    <w:rsid w:val="00833850"/>
    <w:rsid w:val="008343FB"/>
    <w:rsid w:val="00834B52"/>
    <w:rsid w:val="00835CB5"/>
    <w:rsid w:val="0083624A"/>
    <w:rsid w:val="00836C7C"/>
    <w:rsid w:val="00837127"/>
    <w:rsid w:val="008402C4"/>
    <w:rsid w:val="0084087B"/>
    <w:rsid w:val="00841450"/>
    <w:rsid w:val="00842596"/>
    <w:rsid w:val="008427D3"/>
    <w:rsid w:val="00842A01"/>
    <w:rsid w:val="008430CF"/>
    <w:rsid w:val="008434B2"/>
    <w:rsid w:val="008436E5"/>
    <w:rsid w:val="00843939"/>
    <w:rsid w:val="00843FBA"/>
    <w:rsid w:val="008442D0"/>
    <w:rsid w:val="008443AA"/>
    <w:rsid w:val="00844498"/>
    <w:rsid w:val="008449B0"/>
    <w:rsid w:val="00844A3E"/>
    <w:rsid w:val="0084503C"/>
    <w:rsid w:val="0084514D"/>
    <w:rsid w:val="00845E61"/>
    <w:rsid w:val="0084603A"/>
    <w:rsid w:val="00846DA9"/>
    <w:rsid w:val="00846F83"/>
    <w:rsid w:val="00847956"/>
    <w:rsid w:val="00847A52"/>
    <w:rsid w:val="00847CBA"/>
    <w:rsid w:val="00850926"/>
    <w:rsid w:val="008511B6"/>
    <w:rsid w:val="0085161E"/>
    <w:rsid w:val="00851812"/>
    <w:rsid w:val="00851946"/>
    <w:rsid w:val="00851E4E"/>
    <w:rsid w:val="008533A6"/>
    <w:rsid w:val="00853E82"/>
    <w:rsid w:val="00855EB9"/>
    <w:rsid w:val="00857695"/>
    <w:rsid w:val="008577F1"/>
    <w:rsid w:val="00857BC7"/>
    <w:rsid w:val="0086015A"/>
    <w:rsid w:val="00860673"/>
    <w:rsid w:val="00861237"/>
    <w:rsid w:val="00861332"/>
    <w:rsid w:val="00862BF4"/>
    <w:rsid w:val="00862C48"/>
    <w:rsid w:val="008633A0"/>
    <w:rsid w:val="008638ED"/>
    <w:rsid w:val="00863FD0"/>
    <w:rsid w:val="0086432A"/>
    <w:rsid w:val="00864418"/>
    <w:rsid w:val="0086454B"/>
    <w:rsid w:val="0086460C"/>
    <w:rsid w:val="00864B46"/>
    <w:rsid w:val="00864DB9"/>
    <w:rsid w:val="00864FDC"/>
    <w:rsid w:val="0086568F"/>
    <w:rsid w:val="00865918"/>
    <w:rsid w:val="008662A1"/>
    <w:rsid w:val="00866347"/>
    <w:rsid w:val="008671C1"/>
    <w:rsid w:val="0086760D"/>
    <w:rsid w:val="008676D7"/>
    <w:rsid w:val="00867D5D"/>
    <w:rsid w:val="00867F46"/>
    <w:rsid w:val="00871AC9"/>
    <w:rsid w:val="008730BA"/>
    <w:rsid w:val="008734E3"/>
    <w:rsid w:val="00873B62"/>
    <w:rsid w:val="008746EF"/>
    <w:rsid w:val="00874799"/>
    <w:rsid w:val="008750DF"/>
    <w:rsid w:val="008752D4"/>
    <w:rsid w:val="008757A9"/>
    <w:rsid w:val="00876E4F"/>
    <w:rsid w:val="0087708B"/>
    <w:rsid w:val="0087783D"/>
    <w:rsid w:val="00877FAD"/>
    <w:rsid w:val="00881209"/>
    <w:rsid w:val="00882FE7"/>
    <w:rsid w:val="00883BDE"/>
    <w:rsid w:val="008878F9"/>
    <w:rsid w:val="008906F2"/>
    <w:rsid w:val="00890CB4"/>
    <w:rsid w:val="00891E84"/>
    <w:rsid w:val="008921D2"/>
    <w:rsid w:val="008923CC"/>
    <w:rsid w:val="0089263D"/>
    <w:rsid w:val="00892A93"/>
    <w:rsid w:val="00893428"/>
    <w:rsid w:val="00893D73"/>
    <w:rsid w:val="00894F35"/>
    <w:rsid w:val="00896CC0"/>
    <w:rsid w:val="00896DD1"/>
    <w:rsid w:val="00897247"/>
    <w:rsid w:val="008A1183"/>
    <w:rsid w:val="008A18B1"/>
    <w:rsid w:val="008A1DDD"/>
    <w:rsid w:val="008A30F8"/>
    <w:rsid w:val="008A3945"/>
    <w:rsid w:val="008A4167"/>
    <w:rsid w:val="008A46CC"/>
    <w:rsid w:val="008A4CC6"/>
    <w:rsid w:val="008A50C6"/>
    <w:rsid w:val="008A52CC"/>
    <w:rsid w:val="008A5366"/>
    <w:rsid w:val="008A580E"/>
    <w:rsid w:val="008A67AA"/>
    <w:rsid w:val="008A6B51"/>
    <w:rsid w:val="008A7516"/>
    <w:rsid w:val="008B0212"/>
    <w:rsid w:val="008B06C7"/>
    <w:rsid w:val="008B086B"/>
    <w:rsid w:val="008B1B48"/>
    <w:rsid w:val="008B1FB7"/>
    <w:rsid w:val="008B2A3A"/>
    <w:rsid w:val="008B2CC0"/>
    <w:rsid w:val="008B3AAB"/>
    <w:rsid w:val="008B40A2"/>
    <w:rsid w:val="008B47B1"/>
    <w:rsid w:val="008B4981"/>
    <w:rsid w:val="008B5C95"/>
    <w:rsid w:val="008C142E"/>
    <w:rsid w:val="008C14FC"/>
    <w:rsid w:val="008C1E47"/>
    <w:rsid w:val="008C1F7A"/>
    <w:rsid w:val="008C2297"/>
    <w:rsid w:val="008C29D8"/>
    <w:rsid w:val="008C4AB6"/>
    <w:rsid w:val="008C650F"/>
    <w:rsid w:val="008C73EA"/>
    <w:rsid w:val="008C7E4C"/>
    <w:rsid w:val="008C7E50"/>
    <w:rsid w:val="008D0F9E"/>
    <w:rsid w:val="008D246B"/>
    <w:rsid w:val="008D285F"/>
    <w:rsid w:val="008D30EB"/>
    <w:rsid w:val="008D37EC"/>
    <w:rsid w:val="008D3B29"/>
    <w:rsid w:val="008D4321"/>
    <w:rsid w:val="008D4909"/>
    <w:rsid w:val="008D5D39"/>
    <w:rsid w:val="008D692C"/>
    <w:rsid w:val="008D7425"/>
    <w:rsid w:val="008D78E6"/>
    <w:rsid w:val="008D796F"/>
    <w:rsid w:val="008E0736"/>
    <w:rsid w:val="008E0AB0"/>
    <w:rsid w:val="008E158C"/>
    <w:rsid w:val="008E2808"/>
    <w:rsid w:val="008E3060"/>
    <w:rsid w:val="008E42B7"/>
    <w:rsid w:val="008E5DFB"/>
    <w:rsid w:val="008E6958"/>
    <w:rsid w:val="008E765C"/>
    <w:rsid w:val="008E77A8"/>
    <w:rsid w:val="008E788F"/>
    <w:rsid w:val="008F0613"/>
    <w:rsid w:val="008F08CC"/>
    <w:rsid w:val="008F0C07"/>
    <w:rsid w:val="008F15AC"/>
    <w:rsid w:val="008F16E5"/>
    <w:rsid w:val="008F183F"/>
    <w:rsid w:val="008F1B63"/>
    <w:rsid w:val="008F1FC8"/>
    <w:rsid w:val="008F3144"/>
    <w:rsid w:val="008F3F4D"/>
    <w:rsid w:val="008F3F6A"/>
    <w:rsid w:val="008F4382"/>
    <w:rsid w:val="008F4B81"/>
    <w:rsid w:val="008F5502"/>
    <w:rsid w:val="008F59EB"/>
    <w:rsid w:val="008F73F6"/>
    <w:rsid w:val="008F75F8"/>
    <w:rsid w:val="008F7675"/>
    <w:rsid w:val="008F786F"/>
    <w:rsid w:val="008F7987"/>
    <w:rsid w:val="008F7CD2"/>
    <w:rsid w:val="008F7FAD"/>
    <w:rsid w:val="0090052F"/>
    <w:rsid w:val="0090115D"/>
    <w:rsid w:val="009016DF"/>
    <w:rsid w:val="009023AD"/>
    <w:rsid w:val="009023AE"/>
    <w:rsid w:val="00902465"/>
    <w:rsid w:val="00902E79"/>
    <w:rsid w:val="00903244"/>
    <w:rsid w:val="0090328C"/>
    <w:rsid w:val="0090480C"/>
    <w:rsid w:val="00905942"/>
    <w:rsid w:val="00906814"/>
    <w:rsid w:val="009078EF"/>
    <w:rsid w:val="00910B4F"/>
    <w:rsid w:val="00911458"/>
    <w:rsid w:val="009118B5"/>
    <w:rsid w:val="009119EB"/>
    <w:rsid w:val="00911F50"/>
    <w:rsid w:val="00912165"/>
    <w:rsid w:val="00913D35"/>
    <w:rsid w:val="00914777"/>
    <w:rsid w:val="0091514A"/>
    <w:rsid w:val="0091516C"/>
    <w:rsid w:val="0091588D"/>
    <w:rsid w:val="009158DC"/>
    <w:rsid w:val="00915B51"/>
    <w:rsid w:val="00915D10"/>
    <w:rsid w:val="00916269"/>
    <w:rsid w:val="00916942"/>
    <w:rsid w:val="0091732B"/>
    <w:rsid w:val="00920D8E"/>
    <w:rsid w:val="009218C5"/>
    <w:rsid w:val="009277A9"/>
    <w:rsid w:val="00927CB2"/>
    <w:rsid w:val="009302BA"/>
    <w:rsid w:val="00930E1D"/>
    <w:rsid w:val="00931631"/>
    <w:rsid w:val="00932771"/>
    <w:rsid w:val="0093287C"/>
    <w:rsid w:val="00932EC3"/>
    <w:rsid w:val="00933A5A"/>
    <w:rsid w:val="00933DEB"/>
    <w:rsid w:val="00934042"/>
    <w:rsid w:val="00934643"/>
    <w:rsid w:val="00934767"/>
    <w:rsid w:val="00934D14"/>
    <w:rsid w:val="00934D9A"/>
    <w:rsid w:val="00935E14"/>
    <w:rsid w:val="0093738B"/>
    <w:rsid w:val="00937E7E"/>
    <w:rsid w:val="0094076E"/>
    <w:rsid w:val="0094103E"/>
    <w:rsid w:val="0094109B"/>
    <w:rsid w:val="009414E4"/>
    <w:rsid w:val="00941621"/>
    <w:rsid w:val="00941AF6"/>
    <w:rsid w:val="00942EBA"/>
    <w:rsid w:val="00943F62"/>
    <w:rsid w:val="009456A5"/>
    <w:rsid w:val="00945A89"/>
    <w:rsid w:val="00945E81"/>
    <w:rsid w:val="009460AF"/>
    <w:rsid w:val="009462FC"/>
    <w:rsid w:val="00946485"/>
    <w:rsid w:val="00947A63"/>
    <w:rsid w:val="00950CD7"/>
    <w:rsid w:val="00951B6F"/>
    <w:rsid w:val="009529FA"/>
    <w:rsid w:val="00952EC3"/>
    <w:rsid w:val="00953FCE"/>
    <w:rsid w:val="009547FF"/>
    <w:rsid w:val="0095535A"/>
    <w:rsid w:val="00955771"/>
    <w:rsid w:val="00955C41"/>
    <w:rsid w:val="00956879"/>
    <w:rsid w:val="00956AA6"/>
    <w:rsid w:val="00957783"/>
    <w:rsid w:val="00957B33"/>
    <w:rsid w:val="009609AE"/>
    <w:rsid w:val="00960DB3"/>
    <w:rsid w:val="009619D9"/>
    <w:rsid w:val="009626DB"/>
    <w:rsid w:val="009638CD"/>
    <w:rsid w:val="00964100"/>
    <w:rsid w:val="0096512F"/>
    <w:rsid w:val="00965C92"/>
    <w:rsid w:val="009677C3"/>
    <w:rsid w:val="009701F9"/>
    <w:rsid w:val="009714E7"/>
    <w:rsid w:val="00973719"/>
    <w:rsid w:val="0097465E"/>
    <w:rsid w:val="0097501F"/>
    <w:rsid w:val="009769FF"/>
    <w:rsid w:val="00977A62"/>
    <w:rsid w:val="00980694"/>
    <w:rsid w:val="0098120E"/>
    <w:rsid w:val="009813B0"/>
    <w:rsid w:val="009826BA"/>
    <w:rsid w:val="0098318B"/>
    <w:rsid w:val="00983413"/>
    <w:rsid w:val="00983DD2"/>
    <w:rsid w:val="00985EED"/>
    <w:rsid w:val="009868D6"/>
    <w:rsid w:val="0098697C"/>
    <w:rsid w:val="00986A64"/>
    <w:rsid w:val="00987251"/>
    <w:rsid w:val="009901C3"/>
    <w:rsid w:val="00990B39"/>
    <w:rsid w:val="00991951"/>
    <w:rsid w:val="00991E9C"/>
    <w:rsid w:val="009924B4"/>
    <w:rsid w:val="00992564"/>
    <w:rsid w:val="00992DAA"/>
    <w:rsid w:val="00993907"/>
    <w:rsid w:val="009944FE"/>
    <w:rsid w:val="00994B12"/>
    <w:rsid w:val="00995805"/>
    <w:rsid w:val="00995953"/>
    <w:rsid w:val="009964E4"/>
    <w:rsid w:val="009964FB"/>
    <w:rsid w:val="00996A8E"/>
    <w:rsid w:val="00996C95"/>
    <w:rsid w:val="00996F3E"/>
    <w:rsid w:val="00997B94"/>
    <w:rsid w:val="00997BB4"/>
    <w:rsid w:val="00997F6A"/>
    <w:rsid w:val="009A00B6"/>
    <w:rsid w:val="009A09A6"/>
    <w:rsid w:val="009A0C81"/>
    <w:rsid w:val="009A0CD8"/>
    <w:rsid w:val="009A0ED6"/>
    <w:rsid w:val="009A1386"/>
    <w:rsid w:val="009A151A"/>
    <w:rsid w:val="009A1A71"/>
    <w:rsid w:val="009A1B63"/>
    <w:rsid w:val="009A2475"/>
    <w:rsid w:val="009A25B8"/>
    <w:rsid w:val="009A2A55"/>
    <w:rsid w:val="009A31D8"/>
    <w:rsid w:val="009A384F"/>
    <w:rsid w:val="009A5955"/>
    <w:rsid w:val="009A59E8"/>
    <w:rsid w:val="009A6112"/>
    <w:rsid w:val="009A7F32"/>
    <w:rsid w:val="009B0647"/>
    <w:rsid w:val="009B2021"/>
    <w:rsid w:val="009B25A4"/>
    <w:rsid w:val="009B2978"/>
    <w:rsid w:val="009B328F"/>
    <w:rsid w:val="009B4381"/>
    <w:rsid w:val="009B46CE"/>
    <w:rsid w:val="009B4D16"/>
    <w:rsid w:val="009B50F3"/>
    <w:rsid w:val="009B5452"/>
    <w:rsid w:val="009B657F"/>
    <w:rsid w:val="009B6625"/>
    <w:rsid w:val="009B729A"/>
    <w:rsid w:val="009B7721"/>
    <w:rsid w:val="009B7E7E"/>
    <w:rsid w:val="009C028B"/>
    <w:rsid w:val="009C1497"/>
    <w:rsid w:val="009C24BC"/>
    <w:rsid w:val="009C30F7"/>
    <w:rsid w:val="009C3CF8"/>
    <w:rsid w:val="009C4043"/>
    <w:rsid w:val="009C4687"/>
    <w:rsid w:val="009C47F9"/>
    <w:rsid w:val="009C59FE"/>
    <w:rsid w:val="009C6205"/>
    <w:rsid w:val="009C7A32"/>
    <w:rsid w:val="009C7FF0"/>
    <w:rsid w:val="009D0411"/>
    <w:rsid w:val="009D04BE"/>
    <w:rsid w:val="009D08E9"/>
    <w:rsid w:val="009D18C3"/>
    <w:rsid w:val="009D1988"/>
    <w:rsid w:val="009D1A29"/>
    <w:rsid w:val="009D1D1B"/>
    <w:rsid w:val="009D2304"/>
    <w:rsid w:val="009D25AE"/>
    <w:rsid w:val="009D28EA"/>
    <w:rsid w:val="009D3337"/>
    <w:rsid w:val="009D36F9"/>
    <w:rsid w:val="009D4436"/>
    <w:rsid w:val="009D4D28"/>
    <w:rsid w:val="009D604F"/>
    <w:rsid w:val="009D6303"/>
    <w:rsid w:val="009D6431"/>
    <w:rsid w:val="009D6B76"/>
    <w:rsid w:val="009E0BF2"/>
    <w:rsid w:val="009E100B"/>
    <w:rsid w:val="009E1542"/>
    <w:rsid w:val="009E1E65"/>
    <w:rsid w:val="009E1F96"/>
    <w:rsid w:val="009E277F"/>
    <w:rsid w:val="009E301E"/>
    <w:rsid w:val="009E31B3"/>
    <w:rsid w:val="009E351C"/>
    <w:rsid w:val="009E3743"/>
    <w:rsid w:val="009E40E4"/>
    <w:rsid w:val="009E4314"/>
    <w:rsid w:val="009E478D"/>
    <w:rsid w:val="009E48FF"/>
    <w:rsid w:val="009E4E3C"/>
    <w:rsid w:val="009E579B"/>
    <w:rsid w:val="009E5A5D"/>
    <w:rsid w:val="009E5C22"/>
    <w:rsid w:val="009E6BD3"/>
    <w:rsid w:val="009E7DA3"/>
    <w:rsid w:val="009E7EAA"/>
    <w:rsid w:val="009F01D7"/>
    <w:rsid w:val="009F08D9"/>
    <w:rsid w:val="009F1453"/>
    <w:rsid w:val="009F20E4"/>
    <w:rsid w:val="009F3485"/>
    <w:rsid w:val="009F492E"/>
    <w:rsid w:val="009F50F1"/>
    <w:rsid w:val="009F5D51"/>
    <w:rsid w:val="009F5E9B"/>
    <w:rsid w:val="009F60AA"/>
    <w:rsid w:val="009F69AF"/>
    <w:rsid w:val="009F73CD"/>
    <w:rsid w:val="009F7CC8"/>
    <w:rsid w:val="009F7E09"/>
    <w:rsid w:val="00A00377"/>
    <w:rsid w:val="00A0043E"/>
    <w:rsid w:val="00A004EA"/>
    <w:rsid w:val="00A006BD"/>
    <w:rsid w:val="00A01115"/>
    <w:rsid w:val="00A0147C"/>
    <w:rsid w:val="00A01EB9"/>
    <w:rsid w:val="00A0279B"/>
    <w:rsid w:val="00A03240"/>
    <w:rsid w:val="00A033E6"/>
    <w:rsid w:val="00A037E5"/>
    <w:rsid w:val="00A05C08"/>
    <w:rsid w:val="00A064ED"/>
    <w:rsid w:val="00A072A7"/>
    <w:rsid w:val="00A078BC"/>
    <w:rsid w:val="00A07D81"/>
    <w:rsid w:val="00A1051E"/>
    <w:rsid w:val="00A10828"/>
    <w:rsid w:val="00A10931"/>
    <w:rsid w:val="00A10CA2"/>
    <w:rsid w:val="00A113B3"/>
    <w:rsid w:val="00A1177E"/>
    <w:rsid w:val="00A11A17"/>
    <w:rsid w:val="00A12DF7"/>
    <w:rsid w:val="00A13541"/>
    <w:rsid w:val="00A13623"/>
    <w:rsid w:val="00A1392C"/>
    <w:rsid w:val="00A13CAE"/>
    <w:rsid w:val="00A13F3E"/>
    <w:rsid w:val="00A140CC"/>
    <w:rsid w:val="00A1553F"/>
    <w:rsid w:val="00A158E2"/>
    <w:rsid w:val="00A166D9"/>
    <w:rsid w:val="00A16F51"/>
    <w:rsid w:val="00A17E8E"/>
    <w:rsid w:val="00A201BE"/>
    <w:rsid w:val="00A20430"/>
    <w:rsid w:val="00A20545"/>
    <w:rsid w:val="00A20B00"/>
    <w:rsid w:val="00A210B5"/>
    <w:rsid w:val="00A2146C"/>
    <w:rsid w:val="00A21DB0"/>
    <w:rsid w:val="00A22C35"/>
    <w:rsid w:val="00A23BA3"/>
    <w:rsid w:val="00A25246"/>
    <w:rsid w:val="00A25420"/>
    <w:rsid w:val="00A2568E"/>
    <w:rsid w:val="00A2586C"/>
    <w:rsid w:val="00A259EA"/>
    <w:rsid w:val="00A26011"/>
    <w:rsid w:val="00A26029"/>
    <w:rsid w:val="00A26470"/>
    <w:rsid w:val="00A26A97"/>
    <w:rsid w:val="00A27222"/>
    <w:rsid w:val="00A27528"/>
    <w:rsid w:val="00A277B2"/>
    <w:rsid w:val="00A30637"/>
    <w:rsid w:val="00A3129E"/>
    <w:rsid w:val="00A31FCA"/>
    <w:rsid w:val="00A3230E"/>
    <w:rsid w:val="00A336C1"/>
    <w:rsid w:val="00A341DE"/>
    <w:rsid w:val="00A35A81"/>
    <w:rsid w:val="00A35FC3"/>
    <w:rsid w:val="00A363DB"/>
    <w:rsid w:val="00A375CF"/>
    <w:rsid w:val="00A3763E"/>
    <w:rsid w:val="00A37F61"/>
    <w:rsid w:val="00A41ACA"/>
    <w:rsid w:val="00A42425"/>
    <w:rsid w:val="00A425F2"/>
    <w:rsid w:val="00A43189"/>
    <w:rsid w:val="00A43554"/>
    <w:rsid w:val="00A444A5"/>
    <w:rsid w:val="00A4461C"/>
    <w:rsid w:val="00A44E80"/>
    <w:rsid w:val="00A45CE6"/>
    <w:rsid w:val="00A51406"/>
    <w:rsid w:val="00A52CEA"/>
    <w:rsid w:val="00A53693"/>
    <w:rsid w:val="00A53C76"/>
    <w:rsid w:val="00A53F11"/>
    <w:rsid w:val="00A554BB"/>
    <w:rsid w:val="00A55BD0"/>
    <w:rsid w:val="00A56A0A"/>
    <w:rsid w:val="00A56A5A"/>
    <w:rsid w:val="00A56B07"/>
    <w:rsid w:val="00A56EC5"/>
    <w:rsid w:val="00A56FF8"/>
    <w:rsid w:val="00A570B3"/>
    <w:rsid w:val="00A57383"/>
    <w:rsid w:val="00A57A11"/>
    <w:rsid w:val="00A57B1D"/>
    <w:rsid w:val="00A57E7F"/>
    <w:rsid w:val="00A6030A"/>
    <w:rsid w:val="00A60564"/>
    <w:rsid w:val="00A6197D"/>
    <w:rsid w:val="00A6223C"/>
    <w:rsid w:val="00A62253"/>
    <w:rsid w:val="00A629AF"/>
    <w:rsid w:val="00A649E4"/>
    <w:rsid w:val="00A64B0E"/>
    <w:rsid w:val="00A6558A"/>
    <w:rsid w:val="00A6643C"/>
    <w:rsid w:val="00A664F9"/>
    <w:rsid w:val="00A67403"/>
    <w:rsid w:val="00A701F7"/>
    <w:rsid w:val="00A7088B"/>
    <w:rsid w:val="00A72682"/>
    <w:rsid w:val="00A726D1"/>
    <w:rsid w:val="00A72713"/>
    <w:rsid w:val="00A72895"/>
    <w:rsid w:val="00A72A0A"/>
    <w:rsid w:val="00A72AE6"/>
    <w:rsid w:val="00A743A6"/>
    <w:rsid w:val="00A74A01"/>
    <w:rsid w:val="00A7529A"/>
    <w:rsid w:val="00A75340"/>
    <w:rsid w:val="00A75472"/>
    <w:rsid w:val="00A760C1"/>
    <w:rsid w:val="00A77130"/>
    <w:rsid w:val="00A80BD1"/>
    <w:rsid w:val="00A80FDB"/>
    <w:rsid w:val="00A81CC1"/>
    <w:rsid w:val="00A826F1"/>
    <w:rsid w:val="00A837C2"/>
    <w:rsid w:val="00A83F73"/>
    <w:rsid w:val="00A85567"/>
    <w:rsid w:val="00A859E1"/>
    <w:rsid w:val="00A85C05"/>
    <w:rsid w:val="00A86D94"/>
    <w:rsid w:val="00A87691"/>
    <w:rsid w:val="00A9058D"/>
    <w:rsid w:val="00A90B13"/>
    <w:rsid w:val="00A9127D"/>
    <w:rsid w:val="00A918FF"/>
    <w:rsid w:val="00A93A10"/>
    <w:rsid w:val="00A94554"/>
    <w:rsid w:val="00A948A6"/>
    <w:rsid w:val="00A96D90"/>
    <w:rsid w:val="00A973F4"/>
    <w:rsid w:val="00AA0BDB"/>
    <w:rsid w:val="00AA13FB"/>
    <w:rsid w:val="00AA1637"/>
    <w:rsid w:val="00AA1777"/>
    <w:rsid w:val="00AA1C27"/>
    <w:rsid w:val="00AA26A8"/>
    <w:rsid w:val="00AA2E9B"/>
    <w:rsid w:val="00AA3668"/>
    <w:rsid w:val="00AA3E8C"/>
    <w:rsid w:val="00AA43DA"/>
    <w:rsid w:val="00AA6198"/>
    <w:rsid w:val="00AA65EF"/>
    <w:rsid w:val="00AA750C"/>
    <w:rsid w:val="00AA7AD0"/>
    <w:rsid w:val="00AB1DB5"/>
    <w:rsid w:val="00AB1FBC"/>
    <w:rsid w:val="00AB293D"/>
    <w:rsid w:val="00AB2BA7"/>
    <w:rsid w:val="00AB2ED6"/>
    <w:rsid w:val="00AB31BB"/>
    <w:rsid w:val="00AB342C"/>
    <w:rsid w:val="00AB36C1"/>
    <w:rsid w:val="00AB399F"/>
    <w:rsid w:val="00AB3E56"/>
    <w:rsid w:val="00AB434F"/>
    <w:rsid w:val="00AB5733"/>
    <w:rsid w:val="00AB58A7"/>
    <w:rsid w:val="00AB5E87"/>
    <w:rsid w:val="00AB6A3C"/>
    <w:rsid w:val="00AC0BAF"/>
    <w:rsid w:val="00AC1C2C"/>
    <w:rsid w:val="00AC1D27"/>
    <w:rsid w:val="00AC2996"/>
    <w:rsid w:val="00AC2DC5"/>
    <w:rsid w:val="00AC3291"/>
    <w:rsid w:val="00AC41C0"/>
    <w:rsid w:val="00AC4A26"/>
    <w:rsid w:val="00AC552F"/>
    <w:rsid w:val="00AC5A24"/>
    <w:rsid w:val="00AC5F24"/>
    <w:rsid w:val="00AC6A4C"/>
    <w:rsid w:val="00AC719F"/>
    <w:rsid w:val="00AC72FD"/>
    <w:rsid w:val="00AD0509"/>
    <w:rsid w:val="00AD0F1D"/>
    <w:rsid w:val="00AD1619"/>
    <w:rsid w:val="00AD21B9"/>
    <w:rsid w:val="00AD2415"/>
    <w:rsid w:val="00AD30D2"/>
    <w:rsid w:val="00AD3242"/>
    <w:rsid w:val="00AD3358"/>
    <w:rsid w:val="00AD396B"/>
    <w:rsid w:val="00AD42AD"/>
    <w:rsid w:val="00AD4428"/>
    <w:rsid w:val="00AD4C39"/>
    <w:rsid w:val="00AD6A35"/>
    <w:rsid w:val="00AD73F8"/>
    <w:rsid w:val="00AE03D4"/>
    <w:rsid w:val="00AE0705"/>
    <w:rsid w:val="00AE0747"/>
    <w:rsid w:val="00AE0BC0"/>
    <w:rsid w:val="00AE1683"/>
    <w:rsid w:val="00AE1999"/>
    <w:rsid w:val="00AE19D4"/>
    <w:rsid w:val="00AE24A0"/>
    <w:rsid w:val="00AE308B"/>
    <w:rsid w:val="00AE3B2B"/>
    <w:rsid w:val="00AE4134"/>
    <w:rsid w:val="00AE5C32"/>
    <w:rsid w:val="00AE6374"/>
    <w:rsid w:val="00AE682D"/>
    <w:rsid w:val="00AE6856"/>
    <w:rsid w:val="00AE75E4"/>
    <w:rsid w:val="00AE79E4"/>
    <w:rsid w:val="00AF2339"/>
    <w:rsid w:val="00AF2EBE"/>
    <w:rsid w:val="00AF3C1A"/>
    <w:rsid w:val="00AF4B34"/>
    <w:rsid w:val="00AF5444"/>
    <w:rsid w:val="00AF5725"/>
    <w:rsid w:val="00AF63CA"/>
    <w:rsid w:val="00AF6848"/>
    <w:rsid w:val="00AF693F"/>
    <w:rsid w:val="00AF6D0C"/>
    <w:rsid w:val="00AF7DC4"/>
    <w:rsid w:val="00AF7EA7"/>
    <w:rsid w:val="00B00A30"/>
    <w:rsid w:val="00B01124"/>
    <w:rsid w:val="00B011B9"/>
    <w:rsid w:val="00B02780"/>
    <w:rsid w:val="00B036DD"/>
    <w:rsid w:val="00B037C3"/>
    <w:rsid w:val="00B04092"/>
    <w:rsid w:val="00B043EB"/>
    <w:rsid w:val="00B0592F"/>
    <w:rsid w:val="00B059FC"/>
    <w:rsid w:val="00B05E26"/>
    <w:rsid w:val="00B06DAC"/>
    <w:rsid w:val="00B10BA3"/>
    <w:rsid w:val="00B10BCD"/>
    <w:rsid w:val="00B10BE1"/>
    <w:rsid w:val="00B11541"/>
    <w:rsid w:val="00B11579"/>
    <w:rsid w:val="00B127F2"/>
    <w:rsid w:val="00B12832"/>
    <w:rsid w:val="00B13A02"/>
    <w:rsid w:val="00B14450"/>
    <w:rsid w:val="00B14AFD"/>
    <w:rsid w:val="00B15D56"/>
    <w:rsid w:val="00B15ED4"/>
    <w:rsid w:val="00B17951"/>
    <w:rsid w:val="00B20C0B"/>
    <w:rsid w:val="00B21711"/>
    <w:rsid w:val="00B21FC4"/>
    <w:rsid w:val="00B2203F"/>
    <w:rsid w:val="00B2204E"/>
    <w:rsid w:val="00B225B5"/>
    <w:rsid w:val="00B23616"/>
    <w:rsid w:val="00B23EA3"/>
    <w:rsid w:val="00B26853"/>
    <w:rsid w:val="00B269F3"/>
    <w:rsid w:val="00B27694"/>
    <w:rsid w:val="00B3303F"/>
    <w:rsid w:val="00B33544"/>
    <w:rsid w:val="00B33BB0"/>
    <w:rsid w:val="00B349FF"/>
    <w:rsid w:val="00B35027"/>
    <w:rsid w:val="00B3539D"/>
    <w:rsid w:val="00B35EA1"/>
    <w:rsid w:val="00B36250"/>
    <w:rsid w:val="00B36868"/>
    <w:rsid w:val="00B3687F"/>
    <w:rsid w:val="00B3743C"/>
    <w:rsid w:val="00B376C2"/>
    <w:rsid w:val="00B37FFE"/>
    <w:rsid w:val="00B40231"/>
    <w:rsid w:val="00B4127B"/>
    <w:rsid w:val="00B419D1"/>
    <w:rsid w:val="00B42568"/>
    <w:rsid w:val="00B43454"/>
    <w:rsid w:val="00B43632"/>
    <w:rsid w:val="00B4366C"/>
    <w:rsid w:val="00B44290"/>
    <w:rsid w:val="00B44B6E"/>
    <w:rsid w:val="00B45CE1"/>
    <w:rsid w:val="00B46720"/>
    <w:rsid w:val="00B46F80"/>
    <w:rsid w:val="00B47E41"/>
    <w:rsid w:val="00B51713"/>
    <w:rsid w:val="00B5227D"/>
    <w:rsid w:val="00B53101"/>
    <w:rsid w:val="00B53379"/>
    <w:rsid w:val="00B53410"/>
    <w:rsid w:val="00B53A62"/>
    <w:rsid w:val="00B5524C"/>
    <w:rsid w:val="00B55554"/>
    <w:rsid w:val="00B55A06"/>
    <w:rsid w:val="00B560CB"/>
    <w:rsid w:val="00B56E0F"/>
    <w:rsid w:val="00B56E78"/>
    <w:rsid w:val="00B56F0E"/>
    <w:rsid w:val="00B57327"/>
    <w:rsid w:val="00B579DC"/>
    <w:rsid w:val="00B60763"/>
    <w:rsid w:val="00B60A99"/>
    <w:rsid w:val="00B610A9"/>
    <w:rsid w:val="00B61189"/>
    <w:rsid w:val="00B61276"/>
    <w:rsid w:val="00B61D86"/>
    <w:rsid w:val="00B62C9A"/>
    <w:rsid w:val="00B63A68"/>
    <w:rsid w:val="00B652A4"/>
    <w:rsid w:val="00B67B6B"/>
    <w:rsid w:val="00B70468"/>
    <w:rsid w:val="00B70B10"/>
    <w:rsid w:val="00B712F0"/>
    <w:rsid w:val="00B71523"/>
    <w:rsid w:val="00B715D9"/>
    <w:rsid w:val="00B71732"/>
    <w:rsid w:val="00B725D8"/>
    <w:rsid w:val="00B73131"/>
    <w:rsid w:val="00B75411"/>
    <w:rsid w:val="00B75A24"/>
    <w:rsid w:val="00B7601A"/>
    <w:rsid w:val="00B7613E"/>
    <w:rsid w:val="00B772DD"/>
    <w:rsid w:val="00B80666"/>
    <w:rsid w:val="00B80678"/>
    <w:rsid w:val="00B80A10"/>
    <w:rsid w:val="00B817EE"/>
    <w:rsid w:val="00B82601"/>
    <w:rsid w:val="00B8293E"/>
    <w:rsid w:val="00B82ECB"/>
    <w:rsid w:val="00B82FE7"/>
    <w:rsid w:val="00B837E4"/>
    <w:rsid w:val="00B83ACC"/>
    <w:rsid w:val="00B83D3B"/>
    <w:rsid w:val="00B84630"/>
    <w:rsid w:val="00B861A1"/>
    <w:rsid w:val="00B90DD6"/>
    <w:rsid w:val="00B90E3A"/>
    <w:rsid w:val="00B91008"/>
    <w:rsid w:val="00B919C4"/>
    <w:rsid w:val="00B924BA"/>
    <w:rsid w:val="00B92978"/>
    <w:rsid w:val="00B932F2"/>
    <w:rsid w:val="00B9331B"/>
    <w:rsid w:val="00B9356E"/>
    <w:rsid w:val="00B93694"/>
    <w:rsid w:val="00B93E0A"/>
    <w:rsid w:val="00B93F6A"/>
    <w:rsid w:val="00B94519"/>
    <w:rsid w:val="00B954C8"/>
    <w:rsid w:val="00B95D9B"/>
    <w:rsid w:val="00B95E08"/>
    <w:rsid w:val="00B97AB0"/>
    <w:rsid w:val="00B97C89"/>
    <w:rsid w:val="00BA019B"/>
    <w:rsid w:val="00BA024C"/>
    <w:rsid w:val="00BA06D7"/>
    <w:rsid w:val="00BA1F49"/>
    <w:rsid w:val="00BA22C1"/>
    <w:rsid w:val="00BA41D2"/>
    <w:rsid w:val="00BA4E4C"/>
    <w:rsid w:val="00BA4EC0"/>
    <w:rsid w:val="00BA4EDA"/>
    <w:rsid w:val="00BA5150"/>
    <w:rsid w:val="00BA60B7"/>
    <w:rsid w:val="00BA73F0"/>
    <w:rsid w:val="00BB151A"/>
    <w:rsid w:val="00BB25E8"/>
    <w:rsid w:val="00BB26B0"/>
    <w:rsid w:val="00BB2CC2"/>
    <w:rsid w:val="00BB2D63"/>
    <w:rsid w:val="00BB2FD4"/>
    <w:rsid w:val="00BB3B1B"/>
    <w:rsid w:val="00BB3C02"/>
    <w:rsid w:val="00BB53FC"/>
    <w:rsid w:val="00BB566F"/>
    <w:rsid w:val="00BB6DD2"/>
    <w:rsid w:val="00BC038F"/>
    <w:rsid w:val="00BC090C"/>
    <w:rsid w:val="00BC0D30"/>
    <w:rsid w:val="00BC1375"/>
    <w:rsid w:val="00BC335F"/>
    <w:rsid w:val="00BC3FB2"/>
    <w:rsid w:val="00BC43A6"/>
    <w:rsid w:val="00BC595D"/>
    <w:rsid w:val="00BC684B"/>
    <w:rsid w:val="00BC743B"/>
    <w:rsid w:val="00BC77C4"/>
    <w:rsid w:val="00BD0476"/>
    <w:rsid w:val="00BD06C4"/>
    <w:rsid w:val="00BD0C38"/>
    <w:rsid w:val="00BD1628"/>
    <w:rsid w:val="00BD2D45"/>
    <w:rsid w:val="00BD3B57"/>
    <w:rsid w:val="00BD4F1F"/>
    <w:rsid w:val="00BD4F60"/>
    <w:rsid w:val="00BD5A5F"/>
    <w:rsid w:val="00BD61A3"/>
    <w:rsid w:val="00BD7A5B"/>
    <w:rsid w:val="00BD7D83"/>
    <w:rsid w:val="00BE0BB1"/>
    <w:rsid w:val="00BE0CBB"/>
    <w:rsid w:val="00BE127E"/>
    <w:rsid w:val="00BE1512"/>
    <w:rsid w:val="00BE172F"/>
    <w:rsid w:val="00BE1A03"/>
    <w:rsid w:val="00BE212A"/>
    <w:rsid w:val="00BE2655"/>
    <w:rsid w:val="00BE37B4"/>
    <w:rsid w:val="00BE3D29"/>
    <w:rsid w:val="00BE3E62"/>
    <w:rsid w:val="00BE4457"/>
    <w:rsid w:val="00BE4E60"/>
    <w:rsid w:val="00BE5155"/>
    <w:rsid w:val="00BE51F1"/>
    <w:rsid w:val="00BE5E6B"/>
    <w:rsid w:val="00BE782F"/>
    <w:rsid w:val="00BE7880"/>
    <w:rsid w:val="00BF16E5"/>
    <w:rsid w:val="00BF1FC7"/>
    <w:rsid w:val="00BF32FF"/>
    <w:rsid w:val="00BF481B"/>
    <w:rsid w:val="00BF4C0F"/>
    <w:rsid w:val="00BF4FE9"/>
    <w:rsid w:val="00BF5141"/>
    <w:rsid w:val="00BF53ED"/>
    <w:rsid w:val="00BF673A"/>
    <w:rsid w:val="00BF6B13"/>
    <w:rsid w:val="00BF719B"/>
    <w:rsid w:val="00BF71B7"/>
    <w:rsid w:val="00BF78A4"/>
    <w:rsid w:val="00C002C8"/>
    <w:rsid w:val="00C0266D"/>
    <w:rsid w:val="00C02781"/>
    <w:rsid w:val="00C03231"/>
    <w:rsid w:val="00C03C0E"/>
    <w:rsid w:val="00C03D9A"/>
    <w:rsid w:val="00C04907"/>
    <w:rsid w:val="00C052D7"/>
    <w:rsid w:val="00C05E32"/>
    <w:rsid w:val="00C07A52"/>
    <w:rsid w:val="00C10AFE"/>
    <w:rsid w:val="00C10DA4"/>
    <w:rsid w:val="00C10E3D"/>
    <w:rsid w:val="00C12577"/>
    <w:rsid w:val="00C126E3"/>
    <w:rsid w:val="00C137A3"/>
    <w:rsid w:val="00C13B45"/>
    <w:rsid w:val="00C14A41"/>
    <w:rsid w:val="00C153DA"/>
    <w:rsid w:val="00C1698A"/>
    <w:rsid w:val="00C16B2B"/>
    <w:rsid w:val="00C2167A"/>
    <w:rsid w:val="00C226B1"/>
    <w:rsid w:val="00C226C2"/>
    <w:rsid w:val="00C231E6"/>
    <w:rsid w:val="00C237EA"/>
    <w:rsid w:val="00C23B3F"/>
    <w:rsid w:val="00C23F54"/>
    <w:rsid w:val="00C24EED"/>
    <w:rsid w:val="00C2566C"/>
    <w:rsid w:val="00C2586C"/>
    <w:rsid w:val="00C25F66"/>
    <w:rsid w:val="00C261CC"/>
    <w:rsid w:val="00C269E4"/>
    <w:rsid w:val="00C26AA9"/>
    <w:rsid w:val="00C26FF2"/>
    <w:rsid w:val="00C274E1"/>
    <w:rsid w:val="00C277A3"/>
    <w:rsid w:val="00C27C75"/>
    <w:rsid w:val="00C27D31"/>
    <w:rsid w:val="00C319E5"/>
    <w:rsid w:val="00C32372"/>
    <w:rsid w:val="00C332F5"/>
    <w:rsid w:val="00C3493C"/>
    <w:rsid w:val="00C356D7"/>
    <w:rsid w:val="00C35958"/>
    <w:rsid w:val="00C3623E"/>
    <w:rsid w:val="00C40B91"/>
    <w:rsid w:val="00C4132A"/>
    <w:rsid w:val="00C43693"/>
    <w:rsid w:val="00C4382F"/>
    <w:rsid w:val="00C4446B"/>
    <w:rsid w:val="00C44F43"/>
    <w:rsid w:val="00C45655"/>
    <w:rsid w:val="00C458CF"/>
    <w:rsid w:val="00C46AD3"/>
    <w:rsid w:val="00C4798B"/>
    <w:rsid w:val="00C50218"/>
    <w:rsid w:val="00C51079"/>
    <w:rsid w:val="00C515C4"/>
    <w:rsid w:val="00C527B2"/>
    <w:rsid w:val="00C534F5"/>
    <w:rsid w:val="00C535B4"/>
    <w:rsid w:val="00C54420"/>
    <w:rsid w:val="00C54A65"/>
    <w:rsid w:val="00C55459"/>
    <w:rsid w:val="00C55662"/>
    <w:rsid w:val="00C5594E"/>
    <w:rsid w:val="00C57031"/>
    <w:rsid w:val="00C57449"/>
    <w:rsid w:val="00C6059D"/>
    <w:rsid w:val="00C60687"/>
    <w:rsid w:val="00C61538"/>
    <w:rsid w:val="00C61700"/>
    <w:rsid w:val="00C61EBA"/>
    <w:rsid w:val="00C6268A"/>
    <w:rsid w:val="00C628D7"/>
    <w:rsid w:val="00C62A6A"/>
    <w:rsid w:val="00C62BCD"/>
    <w:rsid w:val="00C62D80"/>
    <w:rsid w:val="00C6312C"/>
    <w:rsid w:val="00C6370B"/>
    <w:rsid w:val="00C63F64"/>
    <w:rsid w:val="00C64ECF"/>
    <w:rsid w:val="00C6532C"/>
    <w:rsid w:val="00C6578F"/>
    <w:rsid w:val="00C658F4"/>
    <w:rsid w:val="00C67235"/>
    <w:rsid w:val="00C67D43"/>
    <w:rsid w:val="00C70472"/>
    <w:rsid w:val="00C707B9"/>
    <w:rsid w:val="00C70893"/>
    <w:rsid w:val="00C70A83"/>
    <w:rsid w:val="00C70E71"/>
    <w:rsid w:val="00C71823"/>
    <w:rsid w:val="00C71C37"/>
    <w:rsid w:val="00C71CD0"/>
    <w:rsid w:val="00C71F1F"/>
    <w:rsid w:val="00C7212F"/>
    <w:rsid w:val="00C738EA"/>
    <w:rsid w:val="00C73FF5"/>
    <w:rsid w:val="00C74940"/>
    <w:rsid w:val="00C754D7"/>
    <w:rsid w:val="00C76B96"/>
    <w:rsid w:val="00C76C1E"/>
    <w:rsid w:val="00C76E54"/>
    <w:rsid w:val="00C76FA3"/>
    <w:rsid w:val="00C8067E"/>
    <w:rsid w:val="00C82EF4"/>
    <w:rsid w:val="00C83B4A"/>
    <w:rsid w:val="00C8534A"/>
    <w:rsid w:val="00C870E7"/>
    <w:rsid w:val="00C90444"/>
    <w:rsid w:val="00C90A08"/>
    <w:rsid w:val="00C916F1"/>
    <w:rsid w:val="00C9309E"/>
    <w:rsid w:val="00C93178"/>
    <w:rsid w:val="00C93327"/>
    <w:rsid w:val="00C9372F"/>
    <w:rsid w:val="00C938BD"/>
    <w:rsid w:val="00C95AC1"/>
    <w:rsid w:val="00C95C13"/>
    <w:rsid w:val="00C97C31"/>
    <w:rsid w:val="00CA041D"/>
    <w:rsid w:val="00CA0574"/>
    <w:rsid w:val="00CA1167"/>
    <w:rsid w:val="00CA1B1A"/>
    <w:rsid w:val="00CA24FF"/>
    <w:rsid w:val="00CA34EA"/>
    <w:rsid w:val="00CA38F8"/>
    <w:rsid w:val="00CA5710"/>
    <w:rsid w:val="00CA5A61"/>
    <w:rsid w:val="00CA62FC"/>
    <w:rsid w:val="00CA67DC"/>
    <w:rsid w:val="00CA7525"/>
    <w:rsid w:val="00CA7B11"/>
    <w:rsid w:val="00CB02AD"/>
    <w:rsid w:val="00CB0481"/>
    <w:rsid w:val="00CB0A44"/>
    <w:rsid w:val="00CB1067"/>
    <w:rsid w:val="00CB253D"/>
    <w:rsid w:val="00CB294F"/>
    <w:rsid w:val="00CB2EFD"/>
    <w:rsid w:val="00CB313C"/>
    <w:rsid w:val="00CB33C7"/>
    <w:rsid w:val="00CB3EA9"/>
    <w:rsid w:val="00CB5316"/>
    <w:rsid w:val="00CB5D4A"/>
    <w:rsid w:val="00CB5E5A"/>
    <w:rsid w:val="00CB642E"/>
    <w:rsid w:val="00CB6EE9"/>
    <w:rsid w:val="00CB702D"/>
    <w:rsid w:val="00CC3032"/>
    <w:rsid w:val="00CC352A"/>
    <w:rsid w:val="00CC4F30"/>
    <w:rsid w:val="00CC4F3D"/>
    <w:rsid w:val="00CC5E72"/>
    <w:rsid w:val="00CC7178"/>
    <w:rsid w:val="00CC76AC"/>
    <w:rsid w:val="00CD0681"/>
    <w:rsid w:val="00CD0950"/>
    <w:rsid w:val="00CD0F4E"/>
    <w:rsid w:val="00CD19A2"/>
    <w:rsid w:val="00CD1DD9"/>
    <w:rsid w:val="00CD2D60"/>
    <w:rsid w:val="00CD47F4"/>
    <w:rsid w:val="00CD49BF"/>
    <w:rsid w:val="00CD4EB6"/>
    <w:rsid w:val="00CD62ED"/>
    <w:rsid w:val="00CD71D7"/>
    <w:rsid w:val="00CE0A0B"/>
    <w:rsid w:val="00CE1D2F"/>
    <w:rsid w:val="00CE3035"/>
    <w:rsid w:val="00CE34E8"/>
    <w:rsid w:val="00CE3715"/>
    <w:rsid w:val="00CE524F"/>
    <w:rsid w:val="00CE5B5E"/>
    <w:rsid w:val="00CE7045"/>
    <w:rsid w:val="00CE7E33"/>
    <w:rsid w:val="00CF0959"/>
    <w:rsid w:val="00CF10F4"/>
    <w:rsid w:val="00CF1CCC"/>
    <w:rsid w:val="00CF2D59"/>
    <w:rsid w:val="00CF32F0"/>
    <w:rsid w:val="00CF3361"/>
    <w:rsid w:val="00CF44E2"/>
    <w:rsid w:val="00CF4A0F"/>
    <w:rsid w:val="00CF5D70"/>
    <w:rsid w:val="00D00491"/>
    <w:rsid w:val="00D01C11"/>
    <w:rsid w:val="00D01EFE"/>
    <w:rsid w:val="00D01F31"/>
    <w:rsid w:val="00D02494"/>
    <w:rsid w:val="00D027D0"/>
    <w:rsid w:val="00D03381"/>
    <w:rsid w:val="00D04412"/>
    <w:rsid w:val="00D055FE"/>
    <w:rsid w:val="00D05929"/>
    <w:rsid w:val="00D0599A"/>
    <w:rsid w:val="00D05DE9"/>
    <w:rsid w:val="00D07C88"/>
    <w:rsid w:val="00D07DE5"/>
    <w:rsid w:val="00D106E2"/>
    <w:rsid w:val="00D126B9"/>
    <w:rsid w:val="00D12A58"/>
    <w:rsid w:val="00D137E2"/>
    <w:rsid w:val="00D13921"/>
    <w:rsid w:val="00D13BC4"/>
    <w:rsid w:val="00D13FE3"/>
    <w:rsid w:val="00D14694"/>
    <w:rsid w:val="00D1513A"/>
    <w:rsid w:val="00D159BB"/>
    <w:rsid w:val="00D17873"/>
    <w:rsid w:val="00D200B4"/>
    <w:rsid w:val="00D216D2"/>
    <w:rsid w:val="00D2308E"/>
    <w:rsid w:val="00D23278"/>
    <w:rsid w:val="00D23ED2"/>
    <w:rsid w:val="00D241CF"/>
    <w:rsid w:val="00D24DEC"/>
    <w:rsid w:val="00D257DB"/>
    <w:rsid w:val="00D2712C"/>
    <w:rsid w:val="00D2785B"/>
    <w:rsid w:val="00D30772"/>
    <w:rsid w:val="00D31B31"/>
    <w:rsid w:val="00D32B69"/>
    <w:rsid w:val="00D330A8"/>
    <w:rsid w:val="00D331F0"/>
    <w:rsid w:val="00D33222"/>
    <w:rsid w:val="00D33A17"/>
    <w:rsid w:val="00D343AB"/>
    <w:rsid w:val="00D35451"/>
    <w:rsid w:val="00D3566D"/>
    <w:rsid w:val="00D356E1"/>
    <w:rsid w:val="00D37856"/>
    <w:rsid w:val="00D37EFB"/>
    <w:rsid w:val="00D40A04"/>
    <w:rsid w:val="00D40A24"/>
    <w:rsid w:val="00D40B45"/>
    <w:rsid w:val="00D41B32"/>
    <w:rsid w:val="00D41B58"/>
    <w:rsid w:val="00D41E29"/>
    <w:rsid w:val="00D41E5C"/>
    <w:rsid w:val="00D42885"/>
    <w:rsid w:val="00D42C32"/>
    <w:rsid w:val="00D4370A"/>
    <w:rsid w:val="00D444A6"/>
    <w:rsid w:val="00D45DB2"/>
    <w:rsid w:val="00D45FDD"/>
    <w:rsid w:val="00D46525"/>
    <w:rsid w:val="00D465B7"/>
    <w:rsid w:val="00D470A5"/>
    <w:rsid w:val="00D47502"/>
    <w:rsid w:val="00D47A5C"/>
    <w:rsid w:val="00D505F4"/>
    <w:rsid w:val="00D513E0"/>
    <w:rsid w:val="00D521DE"/>
    <w:rsid w:val="00D52BE5"/>
    <w:rsid w:val="00D52E6F"/>
    <w:rsid w:val="00D53B13"/>
    <w:rsid w:val="00D53F5A"/>
    <w:rsid w:val="00D543E5"/>
    <w:rsid w:val="00D550D7"/>
    <w:rsid w:val="00D558EC"/>
    <w:rsid w:val="00D60333"/>
    <w:rsid w:val="00D60CBE"/>
    <w:rsid w:val="00D614CF"/>
    <w:rsid w:val="00D61E7A"/>
    <w:rsid w:val="00D61F3B"/>
    <w:rsid w:val="00D63503"/>
    <w:rsid w:val="00D63B42"/>
    <w:rsid w:val="00D64336"/>
    <w:rsid w:val="00D659E6"/>
    <w:rsid w:val="00D65B7D"/>
    <w:rsid w:val="00D65D37"/>
    <w:rsid w:val="00D66840"/>
    <w:rsid w:val="00D708A9"/>
    <w:rsid w:val="00D71689"/>
    <w:rsid w:val="00D726B4"/>
    <w:rsid w:val="00D73669"/>
    <w:rsid w:val="00D7500C"/>
    <w:rsid w:val="00D751E0"/>
    <w:rsid w:val="00D754FE"/>
    <w:rsid w:val="00D762B5"/>
    <w:rsid w:val="00D76425"/>
    <w:rsid w:val="00D80400"/>
    <w:rsid w:val="00D80A2B"/>
    <w:rsid w:val="00D80BBA"/>
    <w:rsid w:val="00D80C3E"/>
    <w:rsid w:val="00D81275"/>
    <w:rsid w:val="00D81448"/>
    <w:rsid w:val="00D82920"/>
    <w:rsid w:val="00D82FA1"/>
    <w:rsid w:val="00D833DC"/>
    <w:rsid w:val="00D83E3F"/>
    <w:rsid w:val="00D84D25"/>
    <w:rsid w:val="00D85C18"/>
    <w:rsid w:val="00D85FBD"/>
    <w:rsid w:val="00D85FDA"/>
    <w:rsid w:val="00D90C1A"/>
    <w:rsid w:val="00D90E2C"/>
    <w:rsid w:val="00D931AD"/>
    <w:rsid w:val="00D93253"/>
    <w:rsid w:val="00D93EB4"/>
    <w:rsid w:val="00D950C5"/>
    <w:rsid w:val="00D95232"/>
    <w:rsid w:val="00D95C79"/>
    <w:rsid w:val="00D95CC9"/>
    <w:rsid w:val="00D96D26"/>
    <w:rsid w:val="00D97653"/>
    <w:rsid w:val="00D977B6"/>
    <w:rsid w:val="00D97832"/>
    <w:rsid w:val="00D978F3"/>
    <w:rsid w:val="00DA08FA"/>
    <w:rsid w:val="00DA1D12"/>
    <w:rsid w:val="00DA2F9A"/>
    <w:rsid w:val="00DA3574"/>
    <w:rsid w:val="00DA3AE9"/>
    <w:rsid w:val="00DA3EAF"/>
    <w:rsid w:val="00DA4017"/>
    <w:rsid w:val="00DA4C88"/>
    <w:rsid w:val="00DA53E8"/>
    <w:rsid w:val="00DA757B"/>
    <w:rsid w:val="00DA7A50"/>
    <w:rsid w:val="00DB1671"/>
    <w:rsid w:val="00DB1833"/>
    <w:rsid w:val="00DB1938"/>
    <w:rsid w:val="00DB22BC"/>
    <w:rsid w:val="00DB2432"/>
    <w:rsid w:val="00DB2C63"/>
    <w:rsid w:val="00DB31B4"/>
    <w:rsid w:val="00DB5758"/>
    <w:rsid w:val="00DB6A6B"/>
    <w:rsid w:val="00DB7513"/>
    <w:rsid w:val="00DB7A7D"/>
    <w:rsid w:val="00DB7C1A"/>
    <w:rsid w:val="00DB7D8E"/>
    <w:rsid w:val="00DC0415"/>
    <w:rsid w:val="00DC042A"/>
    <w:rsid w:val="00DC056E"/>
    <w:rsid w:val="00DC0ACC"/>
    <w:rsid w:val="00DC134A"/>
    <w:rsid w:val="00DC15D5"/>
    <w:rsid w:val="00DC197F"/>
    <w:rsid w:val="00DC2280"/>
    <w:rsid w:val="00DC247D"/>
    <w:rsid w:val="00DC26C5"/>
    <w:rsid w:val="00DC560F"/>
    <w:rsid w:val="00DC6816"/>
    <w:rsid w:val="00DC6BBE"/>
    <w:rsid w:val="00DC6C62"/>
    <w:rsid w:val="00DC6DF4"/>
    <w:rsid w:val="00DC7F36"/>
    <w:rsid w:val="00DD038D"/>
    <w:rsid w:val="00DD16C4"/>
    <w:rsid w:val="00DD34F7"/>
    <w:rsid w:val="00DD45B1"/>
    <w:rsid w:val="00DD4E21"/>
    <w:rsid w:val="00DD5383"/>
    <w:rsid w:val="00DD6540"/>
    <w:rsid w:val="00DD6A1A"/>
    <w:rsid w:val="00DD7397"/>
    <w:rsid w:val="00DE0DF2"/>
    <w:rsid w:val="00DE1065"/>
    <w:rsid w:val="00DE106D"/>
    <w:rsid w:val="00DE110F"/>
    <w:rsid w:val="00DE2148"/>
    <w:rsid w:val="00DE3C85"/>
    <w:rsid w:val="00DE3D24"/>
    <w:rsid w:val="00DE5040"/>
    <w:rsid w:val="00DE5121"/>
    <w:rsid w:val="00DE6BA5"/>
    <w:rsid w:val="00DF2537"/>
    <w:rsid w:val="00DF25AC"/>
    <w:rsid w:val="00DF26CB"/>
    <w:rsid w:val="00DF2F42"/>
    <w:rsid w:val="00DF3876"/>
    <w:rsid w:val="00DF4977"/>
    <w:rsid w:val="00DF59FE"/>
    <w:rsid w:val="00DF722E"/>
    <w:rsid w:val="00DF7820"/>
    <w:rsid w:val="00E0080D"/>
    <w:rsid w:val="00E017E4"/>
    <w:rsid w:val="00E01A37"/>
    <w:rsid w:val="00E02016"/>
    <w:rsid w:val="00E02116"/>
    <w:rsid w:val="00E026A9"/>
    <w:rsid w:val="00E02E89"/>
    <w:rsid w:val="00E0307E"/>
    <w:rsid w:val="00E03C97"/>
    <w:rsid w:val="00E041AF"/>
    <w:rsid w:val="00E04F16"/>
    <w:rsid w:val="00E05004"/>
    <w:rsid w:val="00E05677"/>
    <w:rsid w:val="00E05906"/>
    <w:rsid w:val="00E05E57"/>
    <w:rsid w:val="00E06CC0"/>
    <w:rsid w:val="00E11AA3"/>
    <w:rsid w:val="00E122E4"/>
    <w:rsid w:val="00E1302A"/>
    <w:rsid w:val="00E13423"/>
    <w:rsid w:val="00E135EF"/>
    <w:rsid w:val="00E14201"/>
    <w:rsid w:val="00E1525C"/>
    <w:rsid w:val="00E15E14"/>
    <w:rsid w:val="00E1700B"/>
    <w:rsid w:val="00E17181"/>
    <w:rsid w:val="00E172AF"/>
    <w:rsid w:val="00E174DB"/>
    <w:rsid w:val="00E17712"/>
    <w:rsid w:val="00E177B1"/>
    <w:rsid w:val="00E20120"/>
    <w:rsid w:val="00E2050C"/>
    <w:rsid w:val="00E205F3"/>
    <w:rsid w:val="00E2082B"/>
    <w:rsid w:val="00E2093C"/>
    <w:rsid w:val="00E21660"/>
    <w:rsid w:val="00E2212B"/>
    <w:rsid w:val="00E2231A"/>
    <w:rsid w:val="00E22F3A"/>
    <w:rsid w:val="00E23BF6"/>
    <w:rsid w:val="00E23EEB"/>
    <w:rsid w:val="00E24A55"/>
    <w:rsid w:val="00E24C25"/>
    <w:rsid w:val="00E25495"/>
    <w:rsid w:val="00E25AF8"/>
    <w:rsid w:val="00E27D4A"/>
    <w:rsid w:val="00E30635"/>
    <w:rsid w:val="00E30C4E"/>
    <w:rsid w:val="00E30E7E"/>
    <w:rsid w:val="00E30F96"/>
    <w:rsid w:val="00E31CEA"/>
    <w:rsid w:val="00E34051"/>
    <w:rsid w:val="00E346FA"/>
    <w:rsid w:val="00E34CAD"/>
    <w:rsid w:val="00E35B90"/>
    <w:rsid w:val="00E37B9F"/>
    <w:rsid w:val="00E37C51"/>
    <w:rsid w:val="00E420EB"/>
    <w:rsid w:val="00E43BCF"/>
    <w:rsid w:val="00E441B7"/>
    <w:rsid w:val="00E447AA"/>
    <w:rsid w:val="00E44AE0"/>
    <w:rsid w:val="00E44D0D"/>
    <w:rsid w:val="00E451B4"/>
    <w:rsid w:val="00E45980"/>
    <w:rsid w:val="00E460D7"/>
    <w:rsid w:val="00E46CBB"/>
    <w:rsid w:val="00E5025E"/>
    <w:rsid w:val="00E5049B"/>
    <w:rsid w:val="00E505D9"/>
    <w:rsid w:val="00E538E8"/>
    <w:rsid w:val="00E53AEE"/>
    <w:rsid w:val="00E542C4"/>
    <w:rsid w:val="00E54890"/>
    <w:rsid w:val="00E55002"/>
    <w:rsid w:val="00E55846"/>
    <w:rsid w:val="00E560EA"/>
    <w:rsid w:val="00E56453"/>
    <w:rsid w:val="00E57D4F"/>
    <w:rsid w:val="00E57EFE"/>
    <w:rsid w:val="00E57FC4"/>
    <w:rsid w:val="00E61092"/>
    <w:rsid w:val="00E613BF"/>
    <w:rsid w:val="00E625C1"/>
    <w:rsid w:val="00E62760"/>
    <w:rsid w:val="00E634E6"/>
    <w:rsid w:val="00E637CB"/>
    <w:rsid w:val="00E639EB"/>
    <w:rsid w:val="00E63F21"/>
    <w:rsid w:val="00E6511B"/>
    <w:rsid w:val="00E65A11"/>
    <w:rsid w:val="00E66011"/>
    <w:rsid w:val="00E666C5"/>
    <w:rsid w:val="00E669C2"/>
    <w:rsid w:val="00E66A10"/>
    <w:rsid w:val="00E66ED6"/>
    <w:rsid w:val="00E675F0"/>
    <w:rsid w:val="00E70057"/>
    <w:rsid w:val="00E7014C"/>
    <w:rsid w:val="00E70FE1"/>
    <w:rsid w:val="00E71478"/>
    <w:rsid w:val="00E7202B"/>
    <w:rsid w:val="00E725C2"/>
    <w:rsid w:val="00E726A9"/>
    <w:rsid w:val="00E72A9C"/>
    <w:rsid w:val="00E72D13"/>
    <w:rsid w:val="00E73A51"/>
    <w:rsid w:val="00E73FE9"/>
    <w:rsid w:val="00E74822"/>
    <w:rsid w:val="00E7499B"/>
    <w:rsid w:val="00E74EFF"/>
    <w:rsid w:val="00E75288"/>
    <w:rsid w:val="00E75398"/>
    <w:rsid w:val="00E7572C"/>
    <w:rsid w:val="00E75AF9"/>
    <w:rsid w:val="00E76CC0"/>
    <w:rsid w:val="00E77AA5"/>
    <w:rsid w:val="00E82082"/>
    <w:rsid w:val="00E824E2"/>
    <w:rsid w:val="00E8265D"/>
    <w:rsid w:val="00E82678"/>
    <w:rsid w:val="00E835FA"/>
    <w:rsid w:val="00E8377C"/>
    <w:rsid w:val="00E843EA"/>
    <w:rsid w:val="00E8448E"/>
    <w:rsid w:val="00E84955"/>
    <w:rsid w:val="00E84E4A"/>
    <w:rsid w:val="00E85603"/>
    <w:rsid w:val="00E85751"/>
    <w:rsid w:val="00E85B43"/>
    <w:rsid w:val="00E8774A"/>
    <w:rsid w:val="00E87CBE"/>
    <w:rsid w:val="00E90F7A"/>
    <w:rsid w:val="00E9175B"/>
    <w:rsid w:val="00E91902"/>
    <w:rsid w:val="00E919D8"/>
    <w:rsid w:val="00E925F9"/>
    <w:rsid w:val="00E94870"/>
    <w:rsid w:val="00E94E70"/>
    <w:rsid w:val="00E958A2"/>
    <w:rsid w:val="00E9620D"/>
    <w:rsid w:val="00E97ED3"/>
    <w:rsid w:val="00E97FBC"/>
    <w:rsid w:val="00EA05D5"/>
    <w:rsid w:val="00EA0AFA"/>
    <w:rsid w:val="00EA30C1"/>
    <w:rsid w:val="00EA476E"/>
    <w:rsid w:val="00EA53ED"/>
    <w:rsid w:val="00EA5B66"/>
    <w:rsid w:val="00EA7FBD"/>
    <w:rsid w:val="00EB1461"/>
    <w:rsid w:val="00EB25E9"/>
    <w:rsid w:val="00EB26D7"/>
    <w:rsid w:val="00EB3279"/>
    <w:rsid w:val="00EB4279"/>
    <w:rsid w:val="00EB464D"/>
    <w:rsid w:val="00EB480E"/>
    <w:rsid w:val="00EB4C6D"/>
    <w:rsid w:val="00EB4FAD"/>
    <w:rsid w:val="00EB523C"/>
    <w:rsid w:val="00EB527A"/>
    <w:rsid w:val="00EB5CB7"/>
    <w:rsid w:val="00EB656D"/>
    <w:rsid w:val="00EB6C3E"/>
    <w:rsid w:val="00EB7838"/>
    <w:rsid w:val="00EB7FFC"/>
    <w:rsid w:val="00EC0797"/>
    <w:rsid w:val="00EC0982"/>
    <w:rsid w:val="00EC13BE"/>
    <w:rsid w:val="00EC13CE"/>
    <w:rsid w:val="00EC1683"/>
    <w:rsid w:val="00EC1EAA"/>
    <w:rsid w:val="00EC2B49"/>
    <w:rsid w:val="00EC2B69"/>
    <w:rsid w:val="00EC5739"/>
    <w:rsid w:val="00EC594F"/>
    <w:rsid w:val="00EC5B00"/>
    <w:rsid w:val="00EC6762"/>
    <w:rsid w:val="00EC693A"/>
    <w:rsid w:val="00EC7185"/>
    <w:rsid w:val="00EC7769"/>
    <w:rsid w:val="00ED0F09"/>
    <w:rsid w:val="00ED190C"/>
    <w:rsid w:val="00ED1D1F"/>
    <w:rsid w:val="00ED2471"/>
    <w:rsid w:val="00ED3C27"/>
    <w:rsid w:val="00ED3DA2"/>
    <w:rsid w:val="00ED56D5"/>
    <w:rsid w:val="00ED62D3"/>
    <w:rsid w:val="00ED635E"/>
    <w:rsid w:val="00ED6640"/>
    <w:rsid w:val="00ED7D46"/>
    <w:rsid w:val="00ED7D4B"/>
    <w:rsid w:val="00EE0304"/>
    <w:rsid w:val="00EE089B"/>
    <w:rsid w:val="00EE4376"/>
    <w:rsid w:val="00EE47B0"/>
    <w:rsid w:val="00EE539E"/>
    <w:rsid w:val="00EE5788"/>
    <w:rsid w:val="00EE5A6B"/>
    <w:rsid w:val="00EE5FB7"/>
    <w:rsid w:val="00EE6EF2"/>
    <w:rsid w:val="00EE71D7"/>
    <w:rsid w:val="00EE7DEA"/>
    <w:rsid w:val="00EE7EB6"/>
    <w:rsid w:val="00EF0146"/>
    <w:rsid w:val="00EF1A6C"/>
    <w:rsid w:val="00EF1D71"/>
    <w:rsid w:val="00EF2007"/>
    <w:rsid w:val="00EF32E5"/>
    <w:rsid w:val="00EF404C"/>
    <w:rsid w:val="00EF6F7B"/>
    <w:rsid w:val="00EF7370"/>
    <w:rsid w:val="00EF7AE6"/>
    <w:rsid w:val="00F00554"/>
    <w:rsid w:val="00F00B75"/>
    <w:rsid w:val="00F01D63"/>
    <w:rsid w:val="00F023A0"/>
    <w:rsid w:val="00F02791"/>
    <w:rsid w:val="00F0399B"/>
    <w:rsid w:val="00F049B2"/>
    <w:rsid w:val="00F04E23"/>
    <w:rsid w:val="00F0511C"/>
    <w:rsid w:val="00F06164"/>
    <w:rsid w:val="00F0720D"/>
    <w:rsid w:val="00F072B2"/>
    <w:rsid w:val="00F07FB5"/>
    <w:rsid w:val="00F10973"/>
    <w:rsid w:val="00F10FF4"/>
    <w:rsid w:val="00F11C38"/>
    <w:rsid w:val="00F11F32"/>
    <w:rsid w:val="00F147F6"/>
    <w:rsid w:val="00F149CE"/>
    <w:rsid w:val="00F1514C"/>
    <w:rsid w:val="00F153BD"/>
    <w:rsid w:val="00F154AA"/>
    <w:rsid w:val="00F15A25"/>
    <w:rsid w:val="00F160D4"/>
    <w:rsid w:val="00F20E37"/>
    <w:rsid w:val="00F21257"/>
    <w:rsid w:val="00F212CC"/>
    <w:rsid w:val="00F21B18"/>
    <w:rsid w:val="00F21DC9"/>
    <w:rsid w:val="00F24522"/>
    <w:rsid w:val="00F248E5"/>
    <w:rsid w:val="00F25CA0"/>
    <w:rsid w:val="00F27397"/>
    <w:rsid w:val="00F27813"/>
    <w:rsid w:val="00F27872"/>
    <w:rsid w:val="00F27A15"/>
    <w:rsid w:val="00F30793"/>
    <w:rsid w:val="00F307E8"/>
    <w:rsid w:val="00F30CCE"/>
    <w:rsid w:val="00F315FE"/>
    <w:rsid w:val="00F33056"/>
    <w:rsid w:val="00F34CE8"/>
    <w:rsid w:val="00F35730"/>
    <w:rsid w:val="00F36667"/>
    <w:rsid w:val="00F36EDF"/>
    <w:rsid w:val="00F37F89"/>
    <w:rsid w:val="00F40790"/>
    <w:rsid w:val="00F40CF7"/>
    <w:rsid w:val="00F40D25"/>
    <w:rsid w:val="00F4102E"/>
    <w:rsid w:val="00F4127E"/>
    <w:rsid w:val="00F42BA1"/>
    <w:rsid w:val="00F42BF0"/>
    <w:rsid w:val="00F453C0"/>
    <w:rsid w:val="00F46C47"/>
    <w:rsid w:val="00F47C07"/>
    <w:rsid w:val="00F502BE"/>
    <w:rsid w:val="00F507EE"/>
    <w:rsid w:val="00F51420"/>
    <w:rsid w:val="00F517A4"/>
    <w:rsid w:val="00F52699"/>
    <w:rsid w:val="00F52792"/>
    <w:rsid w:val="00F53357"/>
    <w:rsid w:val="00F54E0C"/>
    <w:rsid w:val="00F54E62"/>
    <w:rsid w:val="00F56433"/>
    <w:rsid w:val="00F5697C"/>
    <w:rsid w:val="00F56E9E"/>
    <w:rsid w:val="00F600B6"/>
    <w:rsid w:val="00F60846"/>
    <w:rsid w:val="00F60992"/>
    <w:rsid w:val="00F60B2D"/>
    <w:rsid w:val="00F61089"/>
    <w:rsid w:val="00F624DC"/>
    <w:rsid w:val="00F635EB"/>
    <w:rsid w:val="00F63DEE"/>
    <w:rsid w:val="00F63E50"/>
    <w:rsid w:val="00F648CE"/>
    <w:rsid w:val="00F64946"/>
    <w:rsid w:val="00F64AD6"/>
    <w:rsid w:val="00F65679"/>
    <w:rsid w:val="00F65D3D"/>
    <w:rsid w:val="00F674CF"/>
    <w:rsid w:val="00F676DF"/>
    <w:rsid w:val="00F67B60"/>
    <w:rsid w:val="00F726E8"/>
    <w:rsid w:val="00F72914"/>
    <w:rsid w:val="00F729F1"/>
    <w:rsid w:val="00F72CAE"/>
    <w:rsid w:val="00F72FF9"/>
    <w:rsid w:val="00F733C6"/>
    <w:rsid w:val="00F741EB"/>
    <w:rsid w:val="00F74608"/>
    <w:rsid w:val="00F7479C"/>
    <w:rsid w:val="00F74DF9"/>
    <w:rsid w:val="00F76673"/>
    <w:rsid w:val="00F7698E"/>
    <w:rsid w:val="00F76AA2"/>
    <w:rsid w:val="00F76C0A"/>
    <w:rsid w:val="00F76D3D"/>
    <w:rsid w:val="00F807FD"/>
    <w:rsid w:val="00F80F24"/>
    <w:rsid w:val="00F814F9"/>
    <w:rsid w:val="00F82E0F"/>
    <w:rsid w:val="00F83CB3"/>
    <w:rsid w:val="00F83D80"/>
    <w:rsid w:val="00F840FC"/>
    <w:rsid w:val="00F8586D"/>
    <w:rsid w:val="00F85BE9"/>
    <w:rsid w:val="00F86ABF"/>
    <w:rsid w:val="00F87BCE"/>
    <w:rsid w:val="00F90608"/>
    <w:rsid w:val="00F9068D"/>
    <w:rsid w:val="00F922A5"/>
    <w:rsid w:val="00F9277E"/>
    <w:rsid w:val="00F92CFC"/>
    <w:rsid w:val="00F93712"/>
    <w:rsid w:val="00F94049"/>
    <w:rsid w:val="00F94134"/>
    <w:rsid w:val="00F9429B"/>
    <w:rsid w:val="00F943C4"/>
    <w:rsid w:val="00F9551C"/>
    <w:rsid w:val="00F95894"/>
    <w:rsid w:val="00F95B71"/>
    <w:rsid w:val="00F9600F"/>
    <w:rsid w:val="00F97353"/>
    <w:rsid w:val="00FA0D74"/>
    <w:rsid w:val="00FA12C8"/>
    <w:rsid w:val="00FA12F4"/>
    <w:rsid w:val="00FA2509"/>
    <w:rsid w:val="00FA2574"/>
    <w:rsid w:val="00FA2C05"/>
    <w:rsid w:val="00FA355F"/>
    <w:rsid w:val="00FA4325"/>
    <w:rsid w:val="00FA4705"/>
    <w:rsid w:val="00FA4DFD"/>
    <w:rsid w:val="00FA54B7"/>
    <w:rsid w:val="00FA56F9"/>
    <w:rsid w:val="00FA5722"/>
    <w:rsid w:val="00FA6002"/>
    <w:rsid w:val="00FA6184"/>
    <w:rsid w:val="00FA68B5"/>
    <w:rsid w:val="00FA6A05"/>
    <w:rsid w:val="00FA7085"/>
    <w:rsid w:val="00FA7E05"/>
    <w:rsid w:val="00FB0194"/>
    <w:rsid w:val="00FB0665"/>
    <w:rsid w:val="00FB07F6"/>
    <w:rsid w:val="00FB0965"/>
    <w:rsid w:val="00FB18F6"/>
    <w:rsid w:val="00FB2A32"/>
    <w:rsid w:val="00FB3CFE"/>
    <w:rsid w:val="00FB4494"/>
    <w:rsid w:val="00FB4A5E"/>
    <w:rsid w:val="00FB553E"/>
    <w:rsid w:val="00FB6A92"/>
    <w:rsid w:val="00FB7A54"/>
    <w:rsid w:val="00FB7B33"/>
    <w:rsid w:val="00FC039D"/>
    <w:rsid w:val="00FC0E09"/>
    <w:rsid w:val="00FC129C"/>
    <w:rsid w:val="00FC1E58"/>
    <w:rsid w:val="00FC1E61"/>
    <w:rsid w:val="00FC2655"/>
    <w:rsid w:val="00FC37D6"/>
    <w:rsid w:val="00FC5C1C"/>
    <w:rsid w:val="00FC5D21"/>
    <w:rsid w:val="00FC5F18"/>
    <w:rsid w:val="00FC5F23"/>
    <w:rsid w:val="00FC6E7F"/>
    <w:rsid w:val="00FC7AC3"/>
    <w:rsid w:val="00FC7BC9"/>
    <w:rsid w:val="00FD0039"/>
    <w:rsid w:val="00FD1298"/>
    <w:rsid w:val="00FD1E07"/>
    <w:rsid w:val="00FD2214"/>
    <w:rsid w:val="00FD25EE"/>
    <w:rsid w:val="00FD3227"/>
    <w:rsid w:val="00FD33F8"/>
    <w:rsid w:val="00FD395D"/>
    <w:rsid w:val="00FD5962"/>
    <w:rsid w:val="00FD5CE5"/>
    <w:rsid w:val="00FD6C0C"/>
    <w:rsid w:val="00FD725D"/>
    <w:rsid w:val="00FE0A51"/>
    <w:rsid w:val="00FE0FFD"/>
    <w:rsid w:val="00FE14CF"/>
    <w:rsid w:val="00FE1BAD"/>
    <w:rsid w:val="00FE1D05"/>
    <w:rsid w:val="00FE290E"/>
    <w:rsid w:val="00FE3C23"/>
    <w:rsid w:val="00FE45E9"/>
    <w:rsid w:val="00FE4CB7"/>
    <w:rsid w:val="00FE5397"/>
    <w:rsid w:val="00FE5771"/>
    <w:rsid w:val="00FE5A8A"/>
    <w:rsid w:val="00FF0A59"/>
    <w:rsid w:val="00FF0F1C"/>
    <w:rsid w:val="00FF1A19"/>
    <w:rsid w:val="00FF1CC3"/>
    <w:rsid w:val="00FF336F"/>
    <w:rsid w:val="00FF37BC"/>
    <w:rsid w:val="00FF3D9F"/>
    <w:rsid w:val="00FF4193"/>
    <w:rsid w:val="00FF41CE"/>
    <w:rsid w:val="00FF46A8"/>
    <w:rsid w:val="00FF4C72"/>
    <w:rsid w:val="00FF5035"/>
    <w:rsid w:val="00FF548C"/>
    <w:rsid w:val="00FF65A6"/>
    <w:rsid w:val="00FF6A3E"/>
    <w:rsid w:val="00FF711A"/>
    <w:rsid w:val="00FF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927BF"/>
  <w15:docId w15:val="{5BA17599-D91E-4FA5-8923-D00DDFF9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7E"/>
    <w:pPr>
      <w:spacing w:line="240" w:lineRule="auto"/>
      <w:jc w:val="both"/>
    </w:pPr>
    <w:rPr>
      <w:rFonts w:ascii="Cambria" w:hAnsi="Cambria"/>
      <w:sz w:val="24"/>
    </w:rPr>
  </w:style>
  <w:style w:type="paragraph" w:styleId="Heading1">
    <w:name w:val="heading 1"/>
    <w:basedOn w:val="Normal"/>
    <w:next w:val="Normal"/>
    <w:link w:val="Heading1Char"/>
    <w:uiPriority w:val="9"/>
    <w:qFormat/>
    <w:rsid w:val="0038313B"/>
    <w:pPr>
      <w:keepNext/>
      <w:spacing w:after="240"/>
      <w:outlineLvl w:val="0"/>
    </w:pPr>
    <w:rPr>
      <w:rFonts w:eastAsia="Calibri" w:cs="Times New Roman"/>
      <w:bCs/>
      <w:sz w:val="28"/>
      <w:szCs w:val="24"/>
    </w:rPr>
  </w:style>
  <w:style w:type="paragraph" w:styleId="Heading2">
    <w:name w:val="heading 2"/>
    <w:basedOn w:val="Normal"/>
    <w:next w:val="Normal"/>
    <w:link w:val="Heading2Char"/>
    <w:uiPriority w:val="9"/>
    <w:unhideWhenUsed/>
    <w:qFormat/>
    <w:rsid w:val="0097371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73719"/>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3B"/>
    <w:rPr>
      <w:rFonts w:ascii="Cambria" w:eastAsia="Calibri" w:hAnsi="Cambria" w:cs="Times New Roman"/>
      <w:bCs/>
      <w:sz w:val="28"/>
      <w:szCs w:val="24"/>
    </w:rPr>
  </w:style>
  <w:style w:type="paragraph" w:styleId="ListParagraph">
    <w:name w:val="List Paragraph"/>
    <w:basedOn w:val="Normal"/>
    <w:link w:val="ListParagraphChar"/>
    <w:qFormat/>
    <w:rsid w:val="0038313B"/>
    <w:pPr>
      <w:ind w:left="720"/>
      <w:contextualSpacing/>
    </w:pPr>
  </w:style>
  <w:style w:type="paragraph" w:styleId="BalloonText">
    <w:name w:val="Balloon Text"/>
    <w:basedOn w:val="Normal"/>
    <w:link w:val="BalloonTextChar"/>
    <w:uiPriority w:val="99"/>
    <w:semiHidden/>
    <w:unhideWhenUsed/>
    <w:rsid w:val="000A10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028"/>
    <w:rPr>
      <w:rFonts w:ascii="Segoe UI" w:hAnsi="Segoe UI" w:cs="Segoe UI"/>
      <w:sz w:val="18"/>
      <w:szCs w:val="18"/>
    </w:rPr>
  </w:style>
  <w:style w:type="paragraph" w:styleId="FootnoteText">
    <w:name w:val="footnote text"/>
    <w:aliases w:val="FOOTNOTES,fn,Fußnotentext Char,ADB,Footnote text,FOOTNOTES Char1,fn Char1,Fußnotentext Char Char1,ADB Char1,Footnote text Char1,footnote text Char Char Char1"/>
    <w:basedOn w:val="Normal"/>
    <w:link w:val="FootnoteTextChar"/>
    <w:uiPriority w:val="99"/>
    <w:unhideWhenUsed/>
    <w:rsid w:val="00B84630"/>
    <w:pPr>
      <w:spacing w:after="0"/>
    </w:pPr>
    <w:rPr>
      <w:sz w:val="20"/>
      <w:szCs w:val="20"/>
    </w:rPr>
  </w:style>
  <w:style w:type="character" w:customStyle="1" w:styleId="FootnoteTextChar">
    <w:name w:val="Footnote Text Char"/>
    <w:aliases w:val="FOOTNOTES Char3,fn Char3,Fußnotentext Char Char,ADB Char,Footnote text Char,FOOTNOTES Char1 Char,fn Char1 Char,Fußnotentext Char Char1 Char,ADB Char1 Char,Footnote text Char1 Char1,footnote text Char Char Char1 Char1"/>
    <w:basedOn w:val="DefaultParagraphFont"/>
    <w:link w:val="FootnoteText"/>
    <w:uiPriority w:val="99"/>
    <w:rsid w:val="00B84630"/>
    <w:rPr>
      <w:rFonts w:ascii="Cambria" w:hAnsi="Cambria"/>
      <w:sz w:val="20"/>
      <w:szCs w:val="20"/>
    </w:rPr>
  </w:style>
  <w:style w:type="character" w:styleId="FootnoteReference">
    <w:name w:val="footnote reference"/>
    <w:aliases w:val="Footnote Text1,single space,ft,Voetnoottekst Maarten,single space Char1,Footnote Text Char Char Char1,single space Char Char,ft Char Char1,ft Char1,footnote text Char,FOOTNOTES Char,fn Char,Testo nota a piè di pagina Carattere Char"/>
    <w:basedOn w:val="DefaultParagraphFont"/>
    <w:link w:val="BVIfnrCharCharCharChar1CharChar"/>
    <w:uiPriority w:val="99"/>
    <w:unhideWhenUsed/>
    <w:qFormat/>
    <w:rsid w:val="00B84630"/>
    <w:rPr>
      <w:vertAlign w:val="superscript"/>
    </w:rPr>
  </w:style>
  <w:style w:type="paragraph" w:styleId="Header">
    <w:name w:val="header"/>
    <w:basedOn w:val="Normal"/>
    <w:link w:val="HeaderChar"/>
    <w:uiPriority w:val="99"/>
    <w:unhideWhenUsed/>
    <w:rsid w:val="00F95894"/>
    <w:pPr>
      <w:tabs>
        <w:tab w:val="center" w:pos="4680"/>
        <w:tab w:val="right" w:pos="9360"/>
      </w:tabs>
      <w:spacing w:after="0"/>
    </w:pPr>
  </w:style>
  <w:style w:type="character" w:customStyle="1" w:styleId="HeaderChar">
    <w:name w:val="Header Char"/>
    <w:basedOn w:val="DefaultParagraphFont"/>
    <w:link w:val="Header"/>
    <w:uiPriority w:val="99"/>
    <w:rsid w:val="00F95894"/>
    <w:rPr>
      <w:rFonts w:ascii="Cambria" w:hAnsi="Cambria"/>
      <w:sz w:val="24"/>
    </w:rPr>
  </w:style>
  <w:style w:type="paragraph" w:styleId="Footer">
    <w:name w:val="footer"/>
    <w:aliases w:val="Char Char Char Char Char Char Char,Char Char Char Char Char,Char,Char Char Char,Char Char,Char Char Char Char Char Char,Char Char Char Char Char Char Char Char Char,Char Char Char Char,Char Char Char Char Char Char Char Char Char Char Char,Char1"/>
    <w:basedOn w:val="Normal"/>
    <w:link w:val="FooterChar"/>
    <w:unhideWhenUsed/>
    <w:qFormat/>
    <w:rsid w:val="00F95894"/>
    <w:pPr>
      <w:tabs>
        <w:tab w:val="center" w:pos="4680"/>
        <w:tab w:val="right" w:pos="9360"/>
      </w:tabs>
      <w:spacing w:after="0"/>
    </w:pPr>
  </w:style>
  <w:style w:type="character" w:customStyle="1" w:styleId="FooterChar">
    <w:name w:val="Footer Char"/>
    <w:aliases w:val="Char Char Char Char Char Char Char Char,Char Char Char Char Char Char1,Char Char1,Char Char Char Char1,Char Char Char1,Char Char Char Char Char Char Char1,Char Char Char Char Char Char Char Char Char Char,Char Char Char Char Char1,Char1 Char"/>
    <w:basedOn w:val="DefaultParagraphFont"/>
    <w:link w:val="Footer"/>
    <w:rsid w:val="00F95894"/>
    <w:rPr>
      <w:rFonts w:ascii="Cambria" w:hAnsi="Cambria"/>
      <w:sz w:val="24"/>
    </w:rPr>
  </w:style>
  <w:style w:type="character" w:customStyle="1" w:styleId="FootnoteTextChar1">
    <w:name w:val="Footnote Text Char1"/>
    <w:aliases w:val="FOOTNOTES Char2,fn Char2,Fußnotentext Char Char2,ADB Char2,Footnote text Char2,FOOTNOTES Char1 Char1,fn Char1 Char1,Fußnotentext Char Char1 Char1,ADB Char1 Char1,Footnote text Char1 Char,footnote text Char Char Char1 Char"/>
    <w:uiPriority w:val="99"/>
    <w:rsid w:val="005318C6"/>
    <w:rPr>
      <w:rFonts w:ascii="Cambria" w:eastAsia="Calibri" w:hAnsi="Cambria" w:cs="Times New Roman"/>
      <w:sz w:val="20"/>
      <w:szCs w:val="20"/>
      <w:lang w:eastAsia="ar-SA"/>
    </w:rPr>
  </w:style>
  <w:style w:type="paragraph" w:customStyle="1" w:styleId="BVIfnrCharCharCharChar1CharChar">
    <w:name w:val="BVI fnr Char Char Char Char1 Char Char"/>
    <w:aliases w:val="Footnotes refss Char Char Char Char1 Char Char,ftref Char Char Char Char1 Char Char,16 Point Char Char Char Char1 Char Char,Superscript 6 Point Char Char Char Char1 Char Char Char"/>
    <w:basedOn w:val="Normal"/>
    <w:link w:val="FootnoteReference"/>
    <w:uiPriority w:val="99"/>
    <w:rsid w:val="005318C6"/>
    <w:pPr>
      <w:spacing w:line="240" w:lineRule="exact"/>
    </w:pPr>
    <w:rPr>
      <w:rFonts w:asciiTheme="minorHAnsi" w:hAnsiTheme="minorHAnsi"/>
      <w:sz w:val="22"/>
      <w:vertAlign w:val="superscript"/>
    </w:rPr>
  </w:style>
  <w:style w:type="character" w:customStyle="1" w:styleId="ListParagraphChar">
    <w:name w:val="List Paragraph Char"/>
    <w:link w:val="ListParagraph"/>
    <w:locked/>
    <w:rsid w:val="00D97832"/>
    <w:rPr>
      <w:rFonts w:ascii="Cambria" w:hAnsi="Cambria"/>
      <w:sz w:val="24"/>
    </w:rPr>
  </w:style>
  <w:style w:type="character" w:styleId="CommentReference">
    <w:name w:val="annotation reference"/>
    <w:basedOn w:val="DefaultParagraphFont"/>
    <w:uiPriority w:val="99"/>
    <w:semiHidden/>
    <w:unhideWhenUsed/>
    <w:rsid w:val="003617B3"/>
    <w:rPr>
      <w:sz w:val="16"/>
      <w:szCs w:val="16"/>
    </w:rPr>
  </w:style>
  <w:style w:type="paragraph" w:styleId="CommentText">
    <w:name w:val="annotation text"/>
    <w:basedOn w:val="Normal"/>
    <w:link w:val="CommentTextChar"/>
    <w:uiPriority w:val="99"/>
    <w:semiHidden/>
    <w:unhideWhenUsed/>
    <w:rsid w:val="003617B3"/>
    <w:rPr>
      <w:sz w:val="20"/>
      <w:szCs w:val="20"/>
    </w:rPr>
  </w:style>
  <w:style w:type="character" w:customStyle="1" w:styleId="CommentTextChar">
    <w:name w:val="Comment Text Char"/>
    <w:basedOn w:val="DefaultParagraphFont"/>
    <w:link w:val="CommentText"/>
    <w:uiPriority w:val="99"/>
    <w:semiHidden/>
    <w:rsid w:val="003617B3"/>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617B3"/>
    <w:rPr>
      <w:b/>
      <w:bCs/>
    </w:rPr>
  </w:style>
  <w:style w:type="character" w:customStyle="1" w:styleId="CommentSubjectChar">
    <w:name w:val="Comment Subject Char"/>
    <w:basedOn w:val="CommentTextChar"/>
    <w:link w:val="CommentSubject"/>
    <w:uiPriority w:val="99"/>
    <w:semiHidden/>
    <w:rsid w:val="003617B3"/>
    <w:rPr>
      <w:rFonts w:ascii="Cambria" w:hAnsi="Cambria"/>
      <w:b/>
      <w:bCs/>
      <w:sz w:val="20"/>
      <w:szCs w:val="20"/>
    </w:rPr>
  </w:style>
  <w:style w:type="character" w:customStyle="1" w:styleId="Heading2Char">
    <w:name w:val="Heading 2 Char"/>
    <w:basedOn w:val="DefaultParagraphFont"/>
    <w:link w:val="Heading2"/>
    <w:uiPriority w:val="9"/>
    <w:rsid w:val="00973719"/>
    <w:rPr>
      <w:rFonts w:ascii="Cambria" w:eastAsiaTheme="majorEastAsia" w:hAnsi="Cambria" w:cstheme="majorBidi"/>
      <w:b/>
      <w:sz w:val="24"/>
      <w:szCs w:val="26"/>
    </w:rPr>
  </w:style>
  <w:style w:type="character" w:customStyle="1" w:styleId="Heading3Char">
    <w:name w:val="Heading 3 Char"/>
    <w:basedOn w:val="DefaultParagraphFont"/>
    <w:link w:val="Heading3"/>
    <w:uiPriority w:val="9"/>
    <w:rsid w:val="00973719"/>
    <w:rPr>
      <w:rFonts w:ascii="Cambria" w:eastAsiaTheme="majorEastAsia" w:hAnsi="Cambria" w:cstheme="majorBidi"/>
      <w:sz w:val="24"/>
      <w:szCs w:val="24"/>
    </w:rPr>
  </w:style>
  <w:style w:type="character" w:customStyle="1" w:styleId="CharacterStyle2">
    <w:name w:val="Character Style 2"/>
    <w:uiPriority w:val="99"/>
    <w:rsid w:val="00FB0665"/>
    <w:rPr>
      <w:sz w:val="20"/>
    </w:rPr>
  </w:style>
  <w:style w:type="character" w:styleId="Hyperlink">
    <w:name w:val="Hyperlink"/>
    <w:uiPriority w:val="99"/>
    <w:rsid w:val="00CE34E8"/>
    <w:rPr>
      <w:rFonts w:cs="Times New Roman"/>
      <w:color w:val="0000FF"/>
      <w:u w:val="single"/>
    </w:rPr>
  </w:style>
  <w:style w:type="table" w:styleId="TableGrid">
    <w:name w:val="Table Grid"/>
    <w:basedOn w:val="TableNormal"/>
    <w:uiPriority w:val="39"/>
    <w:rsid w:val="00FA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2148"/>
    <w:rPr>
      <w:color w:val="605E5C"/>
      <w:shd w:val="clear" w:color="auto" w:fill="E1DFDD"/>
    </w:rPr>
  </w:style>
  <w:style w:type="character" w:customStyle="1" w:styleId="legend-color">
    <w:name w:val="legend-color"/>
    <w:basedOn w:val="DefaultParagraphFont"/>
    <w:rsid w:val="00721F5E"/>
  </w:style>
  <w:style w:type="paragraph" w:styleId="NormalWeb">
    <w:name w:val="Normal (Web)"/>
    <w:basedOn w:val="Normal"/>
    <w:uiPriority w:val="99"/>
    <w:unhideWhenUsed/>
    <w:rsid w:val="00721F5E"/>
    <w:pPr>
      <w:spacing w:before="100" w:beforeAutospacing="1" w:after="100" w:afterAutospacing="1"/>
      <w:jc w:val="left"/>
    </w:pPr>
    <w:rPr>
      <w:rFonts w:ascii="Times New Roman" w:eastAsia="Times New Roman" w:hAnsi="Times New Roman" w:cs="Times New Roman"/>
      <w:szCs w:val="24"/>
    </w:rPr>
  </w:style>
  <w:style w:type="character" w:customStyle="1" w:styleId="UnresolvedMention2">
    <w:name w:val="Unresolved Mention2"/>
    <w:basedOn w:val="DefaultParagraphFont"/>
    <w:uiPriority w:val="99"/>
    <w:semiHidden/>
    <w:unhideWhenUsed/>
    <w:rsid w:val="003E1944"/>
    <w:rPr>
      <w:color w:val="605E5C"/>
      <w:shd w:val="clear" w:color="auto" w:fill="E1DFDD"/>
    </w:rPr>
  </w:style>
  <w:style w:type="paragraph" w:customStyle="1" w:styleId="Normal1">
    <w:name w:val="Normal1"/>
    <w:basedOn w:val="Normal"/>
    <w:rsid w:val="00A75472"/>
    <w:pPr>
      <w:spacing w:before="100" w:beforeAutospacing="1" w:after="100" w:afterAutospacing="1"/>
      <w:jc w:val="left"/>
    </w:pPr>
    <w:rPr>
      <w:rFonts w:ascii="Times New Roman" w:eastAsia="Times New Roman" w:hAnsi="Times New Roman" w:cs="Times New Roman"/>
      <w:szCs w:val="24"/>
    </w:rPr>
  </w:style>
  <w:style w:type="paragraph" w:customStyle="1" w:styleId="Default">
    <w:name w:val="Default"/>
    <w:rsid w:val="00992564"/>
    <w:pPr>
      <w:autoSpaceDE w:val="0"/>
      <w:autoSpaceDN w:val="0"/>
      <w:adjustRightInd w:val="0"/>
      <w:spacing w:after="0" w:line="240" w:lineRule="auto"/>
    </w:pPr>
    <w:rPr>
      <w:rFonts w:ascii="Myriad Pro" w:hAnsi="Myriad Pro" w:cs="Myriad Pro"/>
      <w:color w:val="000000"/>
      <w:sz w:val="24"/>
      <w:szCs w:val="24"/>
    </w:rPr>
  </w:style>
  <w:style w:type="character" w:customStyle="1" w:styleId="A3">
    <w:name w:val="A3"/>
    <w:uiPriority w:val="99"/>
    <w:rsid w:val="00992564"/>
    <w:rPr>
      <w:rFonts w:cs="Myriad Pro"/>
      <w:color w:val="000000"/>
      <w:sz w:val="20"/>
      <w:szCs w:val="20"/>
    </w:rPr>
  </w:style>
  <w:style w:type="character" w:customStyle="1" w:styleId="A0">
    <w:name w:val="A0"/>
    <w:uiPriority w:val="99"/>
    <w:rsid w:val="00992564"/>
    <w:rPr>
      <w:rFonts w:cs="Myriad Pro"/>
      <w:color w:val="000000"/>
      <w:sz w:val="20"/>
      <w:szCs w:val="20"/>
    </w:rPr>
  </w:style>
  <w:style w:type="paragraph" w:styleId="TOCHeading">
    <w:name w:val="TOC Heading"/>
    <w:basedOn w:val="Heading1"/>
    <w:next w:val="Normal"/>
    <w:uiPriority w:val="39"/>
    <w:unhideWhenUsed/>
    <w:qFormat/>
    <w:rsid w:val="00A67403"/>
    <w:pPr>
      <w:keepLines/>
      <w:spacing w:before="240" w:after="0" w:line="259" w:lineRule="auto"/>
      <w:jc w:val="left"/>
      <w:outlineLvl w:val="9"/>
    </w:pPr>
    <w:rPr>
      <w:rFonts w:asciiTheme="majorHAnsi" w:eastAsiaTheme="majorEastAsia" w:hAnsiTheme="majorHAnsi" w:cstheme="majorBidi"/>
      <w:bCs w:val="0"/>
      <w:color w:val="2F5496" w:themeColor="accent1" w:themeShade="BF"/>
      <w:sz w:val="32"/>
      <w:szCs w:val="32"/>
    </w:rPr>
  </w:style>
  <w:style w:type="paragraph" w:styleId="TOC1">
    <w:name w:val="toc 1"/>
    <w:basedOn w:val="Normal"/>
    <w:next w:val="Normal"/>
    <w:autoRedefine/>
    <w:uiPriority w:val="39"/>
    <w:unhideWhenUsed/>
    <w:rsid w:val="00C71823"/>
    <w:pPr>
      <w:tabs>
        <w:tab w:val="left" w:pos="567"/>
        <w:tab w:val="right" w:leader="dot" w:pos="9356"/>
      </w:tabs>
      <w:spacing w:after="100"/>
    </w:pPr>
  </w:style>
  <w:style w:type="paragraph" w:styleId="TOC3">
    <w:name w:val="toc 3"/>
    <w:basedOn w:val="Normal"/>
    <w:next w:val="Normal"/>
    <w:autoRedefine/>
    <w:uiPriority w:val="39"/>
    <w:unhideWhenUsed/>
    <w:rsid w:val="00A67403"/>
    <w:pPr>
      <w:spacing w:after="100"/>
      <w:ind w:left="480"/>
    </w:pPr>
  </w:style>
  <w:style w:type="paragraph" w:styleId="TOC2">
    <w:name w:val="toc 2"/>
    <w:basedOn w:val="Normal"/>
    <w:next w:val="Normal"/>
    <w:autoRedefine/>
    <w:uiPriority w:val="39"/>
    <w:unhideWhenUsed/>
    <w:rsid w:val="001F3B5C"/>
    <w:pPr>
      <w:tabs>
        <w:tab w:val="left" w:pos="993"/>
        <w:tab w:val="right" w:leader="dot" w:pos="9350"/>
      </w:tabs>
      <w:spacing w:after="100"/>
      <w:ind w:left="240"/>
    </w:pPr>
  </w:style>
  <w:style w:type="numbering" w:customStyle="1" w:styleId="NoList1">
    <w:name w:val="No List1"/>
    <w:next w:val="NoList"/>
    <w:uiPriority w:val="99"/>
    <w:semiHidden/>
    <w:unhideWhenUsed/>
    <w:rsid w:val="0087783D"/>
  </w:style>
  <w:style w:type="paragraph" w:customStyle="1" w:styleId="footnotetextCharCharChar11">
    <w:name w:val="footnote text Char Char Char11"/>
    <w:basedOn w:val="Normal"/>
    <w:next w:val="FootnoteText"/>
    <w:uiPriority w:val="99"/>
    <w:unhideWhenUsed/>
    <w:rsid w:val="0087783D"/>
    <w:pPr>
      <w:spacing w:after="0"/>
    </w:pPr>
    <w:rPr>
      <w:sz w:val="20"/>
      <w:szCs w:val="20"/>
    </w:rPr>
  </w:style>
  <w:style w:type="table" w:customStyle="1" w:styleId="TableGrid1">
    <w:name w:val="Table Grid1"/>
    <w:basedOn w:val="TableNormal"/>
    <w:next w:val="TableGrid"/>
    <w:uiPriority w:val="39"/>
    <w:rsid w:val="00877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6E41"/>
    <w:rPr>
      <w:color w:val="954F72" w:themeColor="followedHyperlink"/>
      <w:u w:val="single"/>
    </w:rPr>
  </w:style>
  <w:style w:type="character" w:styleId="UnresolvedMention">
    <w:name w:val="Unresolved Mention"/>
    <w:basedOn w:val="DefaultParagraphFont"/>
    <w:uiPriority w:val="99"/>
    <w:semiHidden/>
    <w:unhideWhenUsed/>
    <w:rsid w:val="00FD33F8"/>
    <w:rPr>
      <w:color w:val="605E5C"/>
      <w:shd w:val="clear" w:color="auto" w:fill="E1DFDD"/>
    </w:rPr>
  </w:style>
  <w:style w:type="paragraph" w:customStyle="1" w:styleId="1tekst">
    <w:name w:val="1tekst"/>
    <w:basedOn w:val="Normal"/>
    <w:rsid w:val="004A2704"/>
    <w:pPr>
      <w:spacing w:before="100" w:after="100"/>
      <w:ind w:firstLine="24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932052">
      <w:bodyDiv w:val="1"/>
      <w:marLeft w:val="0"/>
      <w:marRight w:val="0"/>
      <w:marTop w:val="0"/>
      <w:marBottom w:val="0"/>
      <w:divBdr>
        <w:top w:val="none" w:sz="0" w:space="0" w:color="auto"/>
        <w:left w:val="none" w:sz="0" w:space="0" w:color="auto"/>
        <w:bottom w:val="none" w:sz="0" w:space="0" w:color="auto"/>
        <w:right w:val="none" w:sz="0" w:space="0" w:color="auto"/>
      </w:divBdr>
    </w:div>
    <w:div w:id="1087730387">
      <w:bodyDiv w:val="1"/>
      <w:marLeft w:val="0"/>
      <w:marRight w:val="0"/>
      <w:marTop w:val="0"/>
      <w:marBottom w:val="0"/>
      <w:divBdr>
        <w:top w:val="none" w:sz="0" w:space="0" w:color="auto"/>
        <w:left w:val="none" w:sz="0" w:space="0" w:color="auto"/>
        <w:bottom w:val="none" w:sz="0" w:space="0" w:color="auto"/>
        <w:right w:val="none" w:sz="0" w:space="0" w:color="auto"/>
      </w:divBdr>
      <w:divsChild>
        <w:div w:id="929000746">
          <w:marLeft w:val="0"/>
          <w:marRight w:val="0"/>
          <w:marTop w:val="0"/>
          <w:marBottom w:val="0"/>
          <w:divBdr>
            <w:top w:val="none" w:sz="0" w:space="0" w:color="auto"/>
            <w:left w:val="none" w:sz="0" w:space="0" w:color="auto"/>
            <w:bottom w:val="none" w:sz="0" w:space="0" w:color="auto"/>
            <w:right w:val="none" w:sz="0" w:space="0" w:color="auto"/>
          </w:divBdr>
          <w:divsChild>
            <w:div w:id="561721613">
              <w:marLeft w:val="0"/>
              <w:marRight w:val="0"/>
              <w:marTop w:val="0"/>
              <w:marBottom w:val="0"/>
              <w:divBdr>
                <w:top w:val="none" w:sz="0" w:space="0" w:color="auto"/>
                <w:left w:val="none" w:sz="0" w:space="0" w:color="auto"/>
                <w:bottom w:val="none" w:sz="0" w:space="0" w:color="auto"/>
                <w:right w:val="none" w:sz="0" w:space="0" w:color="auto"/>
              </w:divBdr>
            </w:div>
            <w:div w:id="800071310">
              <w:marLeft w:val="0"/>
              <w:marRight w:val="0"/>
              <w:marTop w:val="0"/>
              <w:marBottom w:val="0"/>
              <w:divBdr>
                <w:top w:val="none" w:sz="0" w:space="0" w:color="auto"/>
                <w:left w:val="none" w:sz="0" w:space="0" w:color="auto"/>
                <w:bottom w:val="none" w:sz="0" w:space="0" w:color="auto"/>
                <w:right w:val="none" w:sz="0" w:space="0" w:color="auto"/>
              </w:divBdr>
              <w:divsChild>
                <w:div w:id="1602182539">
                  <w:marLeft w:val="0"/>
                  <w:marRight w:val="0"/>
                  <w:marTop w:val="0"/>
                  <w:marBottom w:val="0"/>
                  <w:divBdr>
                    <w:top w:val="none" w:sz="0" w:space="0" w:color="auto"/>
                    <w:left w:val="none" w:sz="0" w:space="0" w:color="auto"/>
                    <w:bottom w:val="none" w:sz="0" w:space="0" w:color="auto"/>
                    <w:right w:val="none" w:sz="0" w:space="0" w:color="auto"/>
                  </w:divBdr>
                </w:div>
              </w:divsChild>
            </w:div>
            <w:div w:id="143551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2186">
      <w:bodyDiv w:val="1"/>
      <w:marLeft w:val="0"/>
      <w:marRight w:val="0"/>
      <w:marTop w:val="0"/>
      <w:marBottom w:val="0"/>
      <w:divBdr>
        <w:top w:val="none" w:sz="0" w:space="0" w:color="auto"/>
        <w:left w:val="none" w:sz="0" w:space="0" w:color="auto"/>
        <w:bottom w:val="none" w:sz="0" w:space="0" w:color="auto"/>
        <w:right w:val="none" w:sz="0" w:space="0" w:color="auto"/>
      </w:divBdr>
    </w:div>
    <w:div w:id="1543399919">
      <w:bodyDiv w:val="1"/>
      <w:marLeft w:val="0"/>
      <w:marRight w:val="0"/>
      <w:marTop w:val="0"/>
      <w:marBottom w:val="0"/>
      <w:divBdr>
        <w:top w:val="none" w:sz="0" w:space="0" w:color="auto"/>
        <w:left w:val="none" w:sz="0" w:space="0" w:color="auto"/>
        <w:bottom w:val="none" w:sz="0" w:space="0" w:color="auto"/>
        <w:right w:val="none" w:sz="0" w:space="0" w:color="auto"/>
      </w:divBdr>
    </w:div>
    <w:div w:id="1671134485">
      <w:bodyDiv w:val="1"/>
      <w:marLeft w:val="0"/>
      <w:marRight w:val="0"/>
      <w:marTop w:val="0"/>
      <w:marBottom w:val="0"/>
      <w:divBdr>
        <w:top w:val="none" w:sz="0" w:space="0" w:color="auto"/>
        <w:left w:val="none" w:sz="0" w:space="0" w:color="auto"/>
        <w:bottom w:val="none" w:sz="0" w:space="0" w:color="auto"/>
        <w:right w:val="none" w:sz="0" w:space="0" w:color="auto"/>
      </w:divBdr>
    </w:div>
    <w:div w:id="1724018010">
      <w:bodyDiv w:val="1"/>
      <w:marLeft w:val="0"/>
      <w:marRight w:val="0"/>
      <w:marTop w:val="0"/>
      <w:marBottom w:val="0"/>
      <w:divBdr>
        <w:top w:val="none" w:sz="0" w:space="0" w:color="auto"/>
        <w:left w:val="none" w:sz="0" w:space="0" w:color="auto"/>
        <w:bottom w:val="none" w:sz="0" w:space="0" w:color="auto"/>
        <w:right w:val="none" w:sz="0" w:space="0" w:color="auto"/>
      </w:divBdr>
    </w:div>
    <w:div w:id="1852797058">
      <w:bodyDiv w:val="1"/>
      <w:marLeft w:val="0"/>
      <w:marRight w:val="0"/>
      <w:marTop w:val="0"/>
      <w:marBottom w:val="0"/>
      <w:divBdr>
        <w:top w:val="none" w:sz="0" w:space="0" w:color="auto"/>
        <w:left w:val="none" w:sz="0" w:space="0" w:color="auto"/>
        <w:bottom w:val="none" w:sz="0" w:space="0" w:color="auto"/>
        <w:right w:val="none" w:sz="0" w:space="0" w:color="auto"/>
      </w:divBdr>
    </w:div>
    <w:div w:id="213447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as.rs/images/stories/Prirucnik_konacna_verzija.pdf" TargetMode="External"/><Relationship Id="rId18" Type="http://schemas.openxmlformats.org/officeDocument/2006/relationships/hyperlink" Target="https://rm.coe.int/168074738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ravde.gov.rs/tekst/%207073/izvestaj-o-skriningu.php" TargetMode="External"/><Relationship Id="rId17" Type="http://schemas.openxmlformats.org/officeDocument/2006/relationships/hyperlink" Target="https://www.encj.eu/images/%20stories/pdf/opinions/resolutionbucharest29may_final.pdf" TargetMode="External"/><Relationship Id="rId2" Type="http://schemas.openxmlformats.org/officeDocument/2006/relationships/numbering" Target="numbering.xml"/><Relationship Id="rId16" Type="http://schemas.openxmlformats.org/officeDocument/2006/relationships/hyperlink" Target="http://www.vk.sud.rs/sites/default/files/files/ResavanjeStarihPredmeta/jedinstveni_program.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mpravde.gov.rs/tekst/5847/radna&#8211;grupa&#8211;za&#8211;izradu&#8211;analize&#8211;izmene&#8211;ustavnog&#8211;okvira.ph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pravde.gov.rs/tekst/%2012647/akcioni-plan-za-pregovaranje-poglavlja-23-usvojen-na-sednici-vlade-srbije-27-aprila-2016.ph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74738b" TargetMode="External"/><Relationship Id="rId3" Type="http://schemas.openxmlformats.org/officeDocument/2006/relationships/hyperlink" Target="https://www.venice.coe.int/webforms/documents/CDL-AD(2010)040.aspx" TargetMode="External"/><Relationship Id="rId7" Type="http://schemas.openxmlformats.org/officeDocument/2006/relationships/hyperlink" Target="https://www.encj.eu/images/stories/pdf/opinions/resolutionbucharest29may_final.pdf" TargetMode="External"/><Relationship Id="rId2" Type="http://schemas.openxmlformats.org/officeDocument/2006/relationships/hyperlink" Target="https://mpravde.gov.rs/tekst/13244/pregovaracka-pozicija.php" TargetMode="External"/><Relationship Id="rId1" Type="http://schemas.openxmlformats.org/officeDocument/2006/relationships/hyperlink" Target="https://mpravde.gov.rs/tekts/7073-izvestaj-o-skriningu.php" TargetMode="External"/><Relationship Id="rId6" Type="http://schemas.openxmlformats.org/officeDocument/2006/relationships/hyperlink" Target="https://rm.coe.int/16807482c6" TargetMode="External"/><Relationship Id="rId5" Type="http://schemas.openxmlformats.org/officeDocument/2006/relationships/hyperlink" Target="https://data.gov.rs/sr/datasets/?organization=5a9808ffcbe3c80f19373d03" TargetMode="External"/><Relationship Id="rId4" Type="http://schemas.openxmlformats.org/officeDocument/2006/relationships/hyperlink" Target="https://www.venice.coe.int/webforms/documents/CDL-AD(2010)040.aspx" TargetMode="External"/><Relationship Id="rId9" Type="http://schemas.openxmlformats.org/officeDocument/2006/relationships/hyperlink" Target="http://www.mei.gov.rs/upload/documents/nacionalna_dokumenta/npaa/npaa_2018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2E3F-DFDB-439A-8F35-030377EB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43</Pages>
  <Words>16881</Words>
  <Characters>96226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112882</CharactersWithSpaces>
  <SharedDoc>false</SharedDoc>
  <HLinks>
    <vt:vector size="162" baseType="variant">
      <vt:variant>
        <vt:i4>5636125</vt:i4>
      </vt:variant>
      <vt:variant>
        <vt:i4>102</vt:i4>
      </vt:variant>
      <vt:variant>
        <vt:i4>0</vt:i4>
      </vt:variant>
      <vt:variant>
        <vt:i4>5</vt:i4>
      </vt:variant>
      <vt:variant>
        <vt:lpwstr>https://rm.coe.int/168074738b</vt:lpwstr>
      </vt:variant>
      <vt:variant>
        <vt:lpwstr/>
      </vt:variant>
      <vt:variant>
        <vt:i4>7405592</vt:i4>
      </vt:variant>
      <vt:variant>
        <vt:i4>99</vt:i4>
      </vt:variant>
      <vt:variant>
        <vt:i4>0</vt:i4>
      </vt:variant>
      <vt:variant>
        <vt:i4>5</vt:i4>
      </vt:variant>
      <vt:variant>
        <vt:lpwstr>https://www.encj.eu/images/stories/pdf/opinions/resolutionbucharest29may_final.pdf</vt:lpwstr>
      </vt:variant>
      <vt:variant>
        <vt:lpwstr/>
      </vt:variant>
      <vt:variant>
        <vt:i4>131100</vt:i4>
      </vt:variant>
      <vt:variant>
        <vt:i4>96</vt:i4>
      </vt:variant>
      <vt:variant>
        <vt:i4>0</vt:i4>
      </vt:variant>
      <vt:variant>
        <vt:i4>5</vt:i4>
      </vt:variant>
      <vt:variant>
        <vt:lpwstr>https://rm.coe.int/16807482c6</vt:lpwstr>
      </vt:variant>
      <vt:variant>
        <vt:lpwstr/>
      </vt:variant>
      <vt:variant>
        <vt:i4>2228292</vt:i4>
      </vt:variant>
      <vt:variant>
        <vt:i4>93</vt:i4>
      </vt:variant>
      <vt:variant>
        <vt:i4>0</vt:i4>
      </vt:variant>
      <vt:variant>
        <vt:i4>5</vt:i4>
      </vt:variant>
      <vt:variant>
        <vt:lpwstr>http://www.vk.sud.rs/sites/default/files/files/ResavanjeStarihPredmeta/jedinstveni_program.pdf</vt:lpwstr>
      </vt:variant>
      <vt:variant>
        <vt:lpwstr/>
      </vt:variant>
      <vt:variant>
        <vt:i4>1900619</vt:i4>
      </vt:variant>
      <vt:variant>
        <vt:i4>90</vt:i4>
      </vt:variant>
      <vt:variant>
        <vt:i4>0</vt:i4>
      </vt:variant>
      <vt:variant>
        <vt:i4>5</vt:i4>
      </vt:variant>
      <vt:variant>
        <vt:lpwstr>http://www.mpravde.gov.rs/tekst/5847/radna-grupa-za-izradu-analize-izmene-ustavnog-okvira.php</vt:lpwstr>
      </vt:variant>
      <vt:variant>
        <vt:lpwstr/>
      </vt:variant>
      <vt:variant>
        <vt:i4>2949232</vt:i4>
      </vt:variant>
      <vt:variant>
        <vt:i4>87</vt:i4>
      </vt:variant>
      <vt:variant>
        <vt:i4>0</vt:i4>
      </vt:variant>
      <vt:variant>
        <vt:i4>5</vt:i4>
      </vt:variant>
      <vt:variant>
        <vt:lpwstr>http://www.acas.rs/images/stories/Prirucnik_konacna_verzija.pdf</vt:lpwstr>
      </vt:variant>
      <vt:variant>
        <vt:lpwstr/>
      </vt:variant>
      <vt:variant>
        <vt:i4>1966141</vt:i4>
      </vt:variant>
      <vt:variant>
        <vt:i4>80</vt:i4>
      </vt:variant>
      <vt:variant>
        <vt:i4>0</vt:i4>
      </vt:variant>
      <vt:variant>
        <vt:i4>5</vt:i4>
      </vt:variant>
      <vt:variant>
        <vt:lpwstr/>
      </vt:variant>
      <vt:variant>
        <vt:lpwstr>_Toc536079933</vt:lpwstr>
      </vt:variant>
      <vt:variant>
        <vt:i4>1966141</vt:i4>
      </vt:variant>
      <vt:variant>
        <vt:i4>74</vt:i4>
      </vt:variant>
      <vt:variant>
        <vt:i4>0</vt:i4>
      </vt:variant>
      <vt:variant>
        <vt:i4>5</vt:i4>
      </vt:variant>
      <vt:variant>
        <vt:lpwstr/>
      </vt:variant>
      <vt:variant>
        <vt:lpwstr>_Toc536079932</vt:lpwstr>
      </vt:variant>
      <vt:variant>
        <vt:i4>1966141</vt:i4>
      </vt:variant>
      <vt:variant>
        <vt:i4>68</vt:i4>
      </vt:variant>
      <vt:variant>
        <vt:i4>0</vt:i4>
      </vt:variant>
      <vt:variant>
        <vt:i4>5</vt:i4>
      </vt:variant>
      <vt:variant>
        <vt:lpwstr/>
      </vt:variant>
      <vt:variant>
        <vt:lpwstr>_Toc536079931</vt:lpwstr>
      </vt:variant>
      <vt:variant>
        <vt:i4>1966141</vt:i4>
      </vt:variant>
      <vt:variant>
        <vt:i4>62</vt:i4>
      </vt:variant>
      <vt:variant>
        <vt:i4>0</vt:i4>
      </vt:variant>
      <vt:variant>
        <vt:i4>5</vt:i4>
      </vt:variant>
      <vt:variant>
        <vt:lpwstr/>
      </vt:variant>
      <vt:variant>
        <vt:lpwstr>_Toc536079930</vt:lpwstr>
      </vt:variant>
      <vt:variant>
        <vt:i4>2031677</vt:i4>
      </vt:variant>
      <vt:variant>
        <vt:i4>56</vt:i4>
      </vt:variant>
      <vt:variant>
        <vt:i4>0</vt:i4>
      </vt:variant>
      <vt:variant>
        <vt:i4>5</vt:i4>
      </vt:variant>
      <vt:variant>
        <vt:lpwstr/>
      </vt:variant>
      <vt:variant>
        <vt:lpwstr>_Toc536079929</vt:lpwstr>
      </vt:variant>
      <vt:variant>
        <vt:i4>2031677</vt:i4>
      </vt:variant>
      <vt:variant>
        <vt:i4>50</vt:i4>
      </vt:variant>
      <vt:variant>
        <vt:i4>0</vt:i4>
      </vt:variant>
      <vt:variant>
        <vt:i4>5</vt:i4>
      </vt:variant>
      <vt:variant>
        <vt:lpwstr/>
      </vt:variant>
      <vt:variant>
        <vt:lpwstr>_Toc536079928</vt:lpwstr>
      </vt:variant>
      <vt:variant>
        <vt:i4>2031677</vt:i4>
      </vt:variant>
      <vt:variant>
        <vt:i4>44</vt:i4>
      </vt:variant>
      <vt:variant>
        <vt:i4>0</vt:i4>
      </vt:variant>
      <vt:variant>
        <vt:i4>5</vt:i4>
      </vt:variant>
      <vt:variant>
        <vt:lpwstr/>
      </vt:variant>
      <vt:variant>
        <vt:lpwstr>_Toc536079927</vt:lpwstr>
      </vt:variant>
      <vt:variant>
        <vt:i4>2031677</vt:i4>
      </vt:variant>
      <vt:variant>
        <vt:i4>38</vt:i4>
      </vt:variant>
      <vt:variant>
        <vt:i4>0</vt:i4>
      </vt:variant>
      <vt:variant>
        <vt:i4>5</vt:i4>
      </vt:variant>
      <vt:variant>
        <vt:lpwstr/>
      </vt:variant>
      <vt:variant>
        <vt:lpwstr>_Toc536079926</vt:lpwstr>
      </vt:variant>
      <vt:variant>
        <vt:i4>2031677</vt:i4>
      </vt:variant>
      <vt:variant>
        <vt:i4>32</vt:i4>
      </vt:variant>
      <vt:variant>
        <vt:i4>0</vt:i4>
      </vt:variant>
      <vt:variant>
        <vt:i4>5</vt:i4>
      </vt:variant>
      <vt:variant>
        <vt:lpwstr/>
      </vt:variant>
      <vt:variant>
        <vt:lpwstr>_Toc536079925</vt:lpwstr>
      </vt:variant>
      <vt:variant>
        <vt:i4>2031677</vt:i4>
      </vt:variant>
      <vt:variant>
        <vt:i4>26</vt:i4>
      </vt:variant>
      <vt:variant>
        <vt:i4>0</vt:i4>
      </vt:variant>
      <vt:variant>
        <vt:i4>5</vt:i4>
      </vt:variant>
      <vt:variant>
        <vt:lpwstr/>
      </vt:variant>
      <vt:variant>
        <vt:lpwstr>_Toc536079924</vt:lpwstr>
      </vt:variant>
      <vt:variant>
        <vt:i4>2031677</vt:i4>
      </vt:variant>
      <vt:variant>
        <vt:i4>20</vt:i4>
      </vt:variant>
      <vt:variant>
        <vt:i4>0</vt:i4>
      </vt:variant>
      <vt:variant>
        <vt:i4>5</vt:i4>
      </vt:variant>
      <vt:variant>
        <vt:lpwstr/>
      </vt:variant>
      <vt:variant>
        <vt:lpwstr>_Toc536079923</vt:lpwstr>
      </vt:variant>
      <vt:variant>
        <vt:i4>2031677</vt:i4>
      </vt:variant>
      <vt:variant>
        <vt:i4>14</vt:i4>
      </vt:variant>
      <vt:variant>
        <vt:i4>0</vt:i4>
      </vt:variant>
      <vt:variant>
        <vt:i4>5</vt:i4>
      </vt:variant>
      <vt:variant>
        <vt:lpwstr/>
      </vt:variant>
      <vt:variant>
        <vt:lpwstr>_Toc536079922</vt:lpwstr>
      </vt:variant>
      <vt:variant>
        <vt:i4>2031677</vt:i4>
      </vt:variant>
      <vt:variant>
        <vt:i4>8</vt:i4>
      </vt:variant>
      <vt:variant>
        <vt:i4>0</vt:i4>
      </vt:variant>
      <vt:variant>
        <vt:i4>5</vt:i4>
      </vt:variant>
      <vt:variant>
        <vt:lpwstr/>
      </vt:variant>
      <vt:variant>
        <vt:lpwstr>_Toc536079921</vt:lpwstr>
      </vt:variant>
      <vt:variant>
        <vt:i4>2031677</vt:i4>
      </vt:variant>
      <vt:variant>
        <vt:i4>2</vt:i4>
      </vt:variant>
      <vt:variant>
        <vt:i4>0</vt:i4>
      </vt:variant>
      <vt:variant>
        <vt:i4>5</vt:i4>
      </vt:variant>
      <vt:variant>
        <vt:lpwstr/>
      </vt:variant>
      <vt:variant>
        <vt:lpwstr>_Toc536079920</vt:lpwstr>
      </vt:variant>
      <vt:variant>
        <vt:i4>7995456</vt:i4>
      </vt:variant>
      <vt:variant>
        <vt:i4>18</vt:i4>
      </vt:variant>
      <vt:variant>
        <vt:i4>0</vt:i4>
      </vt:variant>
      <vt:variant>
        <vt:i4>5</vt:i4>
      </vt:variant>
      <vt:variant>
        <vt:lpwstr>http://www.mei.gov.rs/upload/documents/nacionalna_dokumenta/npaa/npaa_2018_2021.pdf</vt:lpwstr>
      </vt:variant>
      <vt:variant>
        <vt:lpwstr/>
      </vt:variant>
      <vt:variant>
        <vt:i4>5636125</vt:i4>
      </vt:variant>
      <vt:variant>
        <vt:i4>15</vt:i4>
      </vt:variant>
      <vt:variant>
        <vt:i4>0</vt:i4>
      </vt:variant>
      <vt:variant>
        <vt:i4>5</vt:i4>
      </vt:variant>
      <vt:variant>
        <vt:lpwstr>https://rm.coe.int/168074738b</vt:lpwstr>
      </vt:variant>
      <vt:variant>
        <vt:lpwstr/>
      </vt:variant>
      <vt:variant>
        <vt:i4>7405592</vt:i4>
      </vt:variant>
      <vt:variant>
        <vt:i4>12</vt:i4>
      </vt:variant>
      <vt:variant>
        <vt:i4>0</vt:i4>
      </vt:variant>
      <vt:variant>
        <vt:i4>5</vt:i4>
      </vt:variant>
      <vt:variant>
        <vt:lpwstr>https://www.encj.eu/images/stories/pdf/opinions/resolutionbucharest29may_final.pdf</vt:lpwstr>
      </vt:variant>
      <vt:variant>
        <vt:lpwstr/>
      </vt:variant>
      <vt:variant>
        <vt:i4>131100</vt:i4>
      </vt:variant>
      <vt:variant>
        <vt:i4>9</vt:i4>
      </vt:variant>
      <vt:variant>
        <vt:i4>0</vt:i4>
      </vt:variant>
      <vt:variant>
        <vt:i4>5</vt:i4>
      </vt:variant>
      <vt:variant>
        <vt:lpwstr>https://rm.coe.int/16807482c6</vt:lpwstr>
      </vt:variant>
      <vt:variant>
        <vt:lpwstr/>
      </vt:variant>
      <vt:variant>
        <vt:i4>8126507</vt:i4>
      </vt:variant>
      <vt:variant>
        <vt:i4>6</vt:i4>
      </vt:variant>
      <vt:variant>
        <vt:i4>0</vt:i4>
      </vt:variant>
      <vt:variant>
        <vt:i4>5</vt:i4>
      </vt:variant>
      <vt:variant>
        <vt:lpwstr>https://data.gov.rs/sr/datasets/?organization=5a9808ffcbe3c80f19373d03</vt:lpwstr>
      </vt:variant>
      <vt:variant>
        <vt:lpwstr/>
      </vt:variant>
      <vt:variant>
        <vt:i4>1441863</vt:i4>
      </vt:variant>
      <vt:variant>
        <vt:i4>3</vt:i4>
      </vt:variant>
      <vt:variant>
        <vt:i4>0</vt:i4>
      </vt:variant>
      <vt:variant>
        <vt:i4>5</vt:i4>
      </vt:variant>
      <vt:variant>
        <vt:lpwstr>https://mpravde.gov.rs/tekst/13244/pregovaracka-pozicija.php</vt:lpwstr>
      </vt:variant>
      <vt:variant>
        <vt:lpwstr/>
      </vt:variant>
      <vt:variant>
        <vt:i4>2293882</vt:i4>
      </vt:variant>
      <vt:variant>
        <vt:i4>0</vt:i4>
      </vt:variant>
      <vt:variant>
        <vt:i4>0</vt:i4>
      </vt:variant>
      <vt:variant>
        <vt:i4>5</vt:i4>
      </vt:variant>
      <vt:variant>
        <vt:lpwstr>https://mpravde.gov.rs/tekts/7073-izvestaj-o-skriningu.php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Kolaković</dc:creator>
  <cp:keywords/>
  <dc:description/>
  <cp:lastModifiedBy>Majda Kršikapa</cp:lastModifiedBy>
  <cp:revision>6</cp:revision>
  <cp:lastPrinted>2019-01-14T14:15:00Z</cp:lastPrinted>
  <dcterms:created xsi:type="dcterms:W3CDTF">2020-07-17T10:55:00Z</dcterms:created>
  <dcterms:modified xsi:type="dcterms:W3CDTF">2020-07-17T12:57:00Z</dcterms:modified>
</cp:coreProperties>
</file>